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E5E" w:rsidRDefault="00922F55">
      <w:r>
        <w:rPr>
          <w:noProof/>
        </w:rPr>
        <w:drawing>
          <wp:inline distT="0" distB="0" distL="0" distR="0">
            <wp:extent cx="5903999" cy="621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png"/>
                    <pic:cNvPicPr/>
                  </pic:nvPicPr>
                  <pic:blipFill>
                    <a:blip r:embed="rId8"/>
                    <a:stretch>
                      <a:fillRect/>
                    </a:stretch>
                  </pic:blipFill>
                  <pic:spPr>
                    <a:xfrm>
                      <a:off x="0" y="0"/>
                      <a:ext cx="5903999" cy="621670"/>
                    </a:xfrm>
                    <a:prstGeom prst="rect">
                      <a:avLst/>
                    </a:prstGeom>
                  </pic:spPr>
                </pic:pic>
              </a:graphicData>
            </a:graphic>
          </wp:inline>
        </w:drawing>
      </w:r>
    </w:p>
    <w:p w:rsidR="00876E5E" w:rsidRDefault="00922F55">
      <w:pPr>
        <w:pStyle w:val="Title"/>
      </w:pPr>
      <w:r>
        <w:rPr>
          <w:lang w:val="en-GB"/>
        </w:rPr>
        <w:t>FIRST PRELIMINARY REPORT</w:t>
      </w:r>
    </w:p>
    <w:p w:rsidR="00876E5E" w:rsidRDefault="00922F55">
      <w:pPr>
        <w:pStyle w:val="Subtitle"/>
      </w:pPr>
      <w:r>
        <w:rPr>
          <w:lang w:val="en-GB"/>
        </w:rPr>
        <w:t>Citizen non-partisan long-term observation of the 2026 General Elections in Bosnia and Herzegovina</w:t>
      </w:r>
    </w:p>
    <w:p w:rsidR="00876E5E" w:rsidRDefault="00922F55">
      <w:r>
        <w:rPr>
          <w:lang w:val="en-GB"/>
        </w:rPr>
        <w:t>Coalition for Free and Fair Elections “Pod lupom”</w:t>
      </w:r>
    </w:p>
    <w:p w:rsidR="00FF1A93" w:rsidRDefault="00FF1A93">
      <w:pPr>
        <w:rPr>
          <w:lang w:val="en-GB"/>
        </w:rPr>
      </w:pPr>
    </w:p>
    <w:p w:rsidR="00876E5E" w:rsidRDefault="00922F55">
      <w:bookmarkStart w:id="0" w:name="_GoBack"/>
      <w:bookmarkEnd w:id="0"/>
      <w:r>
        <w:rPr>
          <w:lang w:val="en-GB"/>
        </w:rPr>
        <w:t>September 2026</w:t>
      </w:r>
    </w:p>
    <w:p w:rsidR="00876E5E" w:rsidRDefault="00922F55">
      <w:pPr>
        <w:jc w:val="center"/>
      </w:pPr>
      <w:r>
        <w:rPr>
          <w:noProof/>
        </w:rPr>
        <w:drawing>
          <wp:inline distT="0" distB="0" distL="0" distR="0">
            <wp:extent cx="4608000" cy="2818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art.png"/>
                    <pic:cNvPicPr/>
                  </pic:nvPicPr>
                  <pic:blipFill>
                    <a:blip r:embed="rId9"/>
                    <a:stretch>
                      <a:fillRect/>
                    </a:stretch>
                  </pic:blipFill>
                  <pic:spPr>
                    <a:xfrm>
                      <a:off x="0" y="0"/>
                      <a:ext cx="4608000" cy="2818260"/>
                    </a:xfrm>
                    <a:prstGeom prst="rect">
                      <a:avLst/>
                    </a:prstGeom>
                  </pic:spPr>
                </pic:pic>
              </a:graphicData>
            </a:graphic>
          </wp:inline>
        </w:drawing>
      </w:r>
    </w:p>
    <w:p w:rsidR="00876E5E" w:rsidRDefault="00922F55">
      <w:pPr>
        <w:jc w:val="center"/>
      </w:pPr>
      <w:r>
        <w:rPr>
          <w:lang w:val="en-GB"/>
        </w:rPr>
        <w:t>…because we care!</w:t>
      </w:r>
    </w:p>
    <w:p w:rsidR="00876E5E" w:rsidRDefault="00922F55">
      <w:r>
        <w:rPr>
          <w:lang w:val="en-GB"/>
        </w:rPr>
        <w:br w:type="page"/>
      </w:r>
    </w:p>
    <w:p w:rsidR="00876E5E" w:rsidRDefault="00922F55">
      <w:pPr>
        <w:pStyle w:val="Heading1"/>
      </w:pPr>
      <w:r>
        <w:rPr>
          <w:lang w:val="en-GB"/>
        </w:rPr>
        <w:lastRenderedPageBreak/>
        <w:t>Contents</w:t>
      </w:r>
    </w:p>
    <w:p w:rsidR="00876E5E" w:rsidRDefault="00922F55">
      <w:pPr>
        <w:tabs>
          <w:tab w:val="right" w:leader="dot" w:pos="9241"/>
        </w:tabs>
      </w:pPr>
      <w:r>
        <w:rPr>
          <w:lang w:val="en-GB"/>
        </w:rPr>
        <w:t xml:space="preserve">Summary of </w:t>
      </w:r>
      <w:r>
        <w:rPr>
          <w:lang w:val="en-GB"/>
        </w:rPr>
        <w:t>the First Preliminary Report</w:t>
      </w:r>
      <w:r>
        <w:tab/>
        <w:t>3</w:t>
      </w:r>
    </w:p>
    <w:p w:rsidR="00876E5E" w:rsidRDefault="00922F55">
      <w:pPr>
        <w:tabs>
          <w:tab w:val="right" w:leader="dot" w:pos="9241"/>
        </w:tabs>
      </w:pPr>
      <w:r>
        <w:rPr>
          <w:lang w:val="en-GB"/>
        </w:rPr>
        <w:t>The “Pod lupom” Coalition observation mission for the 2026 General Elections</w:t>
      </w:r>
      <w:r>
        <w:tab/>
        <w:t>4</w:t>
      </w:r>
    </w:p>
    <w:p w:rsidR="00876E5E" w:rsidRDefault="00922F55">
      <w:pPr>
        <w:tabs>
          <w:tab w:val="right" w:leader="dot" w:pos="9241"/>
        </w:tabs>
      </w:pPr>
      <w:r>
        <w:rPr>
          <w:lang w:val="en-GB"/>
        </w:rPr>
        <w:t>Brief overview of new election technologies and key observations</w:t>
      </w:r>
      <w:r>
        <w:tab/>
        <w:t>5</w:t>
      </w:r>
    </w:p>
    <w:p w:rsidR="00876E5E" w:rsidRDefault="00922F55">
      <w:pPr>
        <w:tabs>
          <w:tab w:val="right" w:leader="dot" w:pos="9241"/>
        </w:tabs>
      </w:pPr>
      <w:r>
        <w:rPr>
          <w:lang w:val="en-GB"/>
        </w:rPr>
        <w:t>Electoral irregularities in the pre-election period</w:t>
      </w:r>
      <w:r>
        <w:tab/>
        <w:t>7</w:t>
      </w:r>
    </w:p>
    <w:p w:rsidR="00876E5E" w:rsidRDefault="00922F55">
      <w:pPr>
        <w:tabs>
          <w:tab w:val="right" w:leader="dot" w:pos="9241"/>
        </w:tabs>
      </w:pPr>
      <w:r>
        <w:rPr>
          <w:lang w:val="en-GB"/>
        </w:rPr>
        <w:t>Premature election campai</w:t>
      </w:r>
      <w:r>
        <w:rPr>
          <w:lang w:val="en-GB"/>
        </w:rPr>
        <w:t>gning</w:t>
      </w:r>
      <w:r>
        <w:tab/>
        <w:t>9</w:t>
      </w:r>
    </w:p>
    <w:p w:rsidR="00876E5E" w:rsidRDefault="00922F55">
      <w:pPr>
        <w:tabs>
          <w:tab w:val="right" w:leader="dot" w:pos="9241"/>
        </w:tabs>
      </w:pPr>
      <w:r>
        <w:rPr>
          <w:lang w:val="en-GB"/>
        </w:rPr>
        <w:t>Misuse of children for political purposes</w:t>
      </w:r>
      <w:r>
        <w:tab/>
        <w:t>10</w:t>
      </w:r>
    </w:p>
    <w:p w:rsidR="00876E5E" w:rsidRDefault="00922F55">
      <w:pPr>
        <w:tabs>
          <w:tab w:val="right" w:leader="dot" w:pos="9241"/>
        </w:tabs>
      </w:pPr>
      <w:r>
        <w:rPr>
          <w:lang w:val="en-GB"/>
        </w:rPr>
        <w:t>Misuse of public funds and resources</w:t>
      </w:r>
      <w:r>
        <w:tab/>
        <w:t>13</w:t>
      </w:r>
    </w:p>
    <w:p w:rsidR="00876E5E" w:rsidRDefault="00922F55">
      <w:pPr>
        <w:tabs>
          <w:tab w:val="right" w:leader="dot" w:pos="9241"/>
        </w:tabs>
      </w:pPr>
      <w:r>
        <w:rPr>
          <w:lang w:val="en-GB"/>
        </w:rPr>
        <w:t>Protection of electoral rights</w:t>
      </w:r>
      <w:r>
        <w:tab/>
        <w:t>14</w:t>
      </w:r>
    </w:p>
    <w:p w:rsidR="00876E5E" w:rsidRDefault="00922F55">
      <w:pPr>
        <w:tabs>
          <w:tab w:val="right" w:leader="dot" w:pos="9241"/>
        </w:tabs>
      </w:pPr>
      <w:r>
        <w:rPr>
          <w:lang w:val="en-GB"/>
        </w:rPr>
        <w:t>Work of local election commissions</w:t>
      </w:r>
      <w:r>
        <w:tab/>
        <w:t>15</w:t>
      </w:r>
    </w:p>
    <w:p w:rsidR="00876E5E" w:rsidRDefault="00922F55">
      <w:pPr>
        <w:tabs>
          <w:tab w:val="right" w:leader="dot" w:pos="9241"/>
        </w:tabs>
      </w:pPr>
      <w:r>
        <w:rPr>
          <w:lang w:val="en-GB"/>
        </w:rPr>
        <w:t>Basic information on the 2026 General Elections in Bosnia and Herzegovina</w:t>
      </w:r>
      <w:r>
        <w:tab/>
        <w:t>16</w:t>
      </w:r>
    </w:p>
    <w:p w:rsidR="00876E5E" w:rsidRDefault="00922F55">
      <w:pPr>
        <w:tabs>
          <w:tab w:val="right" w:leader="dot" w:pos="9241"/>
        </w:tabs>
      </w:pPr>
      <w:r>
        <w:rPr>
          <w:lang w:val="en-GB"/>
        </w:rPr>
        <w:t>Basic informat</w:t>
      </w:r>
      <w:r>
        <w:rPr>
          <w:lang w:val="en-GB"/>
        </w:rPr>
        <w:t>ion on the Coalition for Free and Fair Elections “Pod lupom”</w:t>
      </w:r>
      <w:r>
        <w:tab/>
        <w:t>18</w:t>
      </w:r>
    </w:p>
    <w:p w:rsidR="00876E5E" w:rsidRDefault="00922F55">
      <w:r>
        <w:rPr>
          <w:lang w:val="en-GB"/>
        </w:rPr>
        <w:br w:type="page"/>
      </w:r>
    </w:p>
    <w:p w:rsidR="00876E5E" w:rsidRDefault="00922F55">
      <w:pPr>
        <w:pStyle w:val="Heading1"/>
      </w:pPr>
      <w:r>
        <w:rPr>
          <w:lang w:val="en-GB"/>
        </w:rPr>
        <w:lastRenderedPageBreak/>
        <w:t>Summary of the First Preliminary Report</w:t>
      </w:r>
    </w:p>
    <w:p w:rsidR="00876E5E" w:rsidRDefault="00922F55">
      <w:pPr>
        <w:pStyle w:val="Heading2"/>
        <w:spacing w:before="60" w:after="60" w:line="240" w:lineRule="auto"/>
      </w:pPr>
      <w:r>
        <w:rPr>
          <w:sz w:val="21"/>
          <w:lang w:val="en-GB"/>
        </w:rPr>
        <w:t>Observation mission</w:t>
      </w:r>
    </w:p>
    <w:p w:rsidR="00876E5E" w:rsidRDefault="00922F55">
      <w:pPr>
        <w:pStyle w:val="ListBullet"/>
        <w:spacing w:before="60" w:after="60" w:line="240" w:lineRule="auto"/>
      </w:pPr>
      <w:r>
        <w:rPr>
          <w:sz w:val="21"/>
          <w:lang w:val="en-GB"/>
        </w:rPr>
        <w:t>10 project team members</w:t>
      </w:r>
    </w:p>
    <w:p w:rsidR="00876E5E" w:rsidRDefault="00922F55">
      <w:pPr>
        <w:pStyle w:val="ListBullet"/>
        <w:spacing w:before="60" w:after="60" w:line="240" w:lineRule="auto"/>
      </w:pPr>
      <w:r>
        <w:rPr>
          <w:sz w:val="21"/>
          <w:lang w:val="en-GB"/>
        </w:rPr>
        <w:t>37 civil society organisations</w:t>
      </w:r>
    </w:p>
    <w:p w:rsidR="00876E5E" w:rsidRDefault="00922F55">
      <w:pPr>
        <w:pStyle w:val="ListBullet"/>
        <w:spacing w:before="60" w:after="60" w:line="240" w:lineRule="auto"/>
      </w:pPr>
      <w:r>
        <w:rPr>
          <w:sz w:val="21"/>
          <w:lang w:val="en-GB"/>
        </w:rPr>
        <w:t>57 long-term observers</w:t>
      </w:r>
    </w:p>
    <w:p w:rsidR="00876E5E" w:rsidRDefault="00922F55">
      <w:pPr>
        <w:pStyle w:val="ListBullet"/>
        <w:spacing w:before="60" w:after="60" w:line="240" w:lineRule="auto"/>
      </w:pPr>
      <w:r>
        <w:rPr>
          <w:sz w:val="21"/>
          <w:lang w:val="en-GB"/>
        </w:rPr>
        <w:t>1,000 election-day observers</w:t>
      </w:r>
    </w:p>
    <w:p w:rsidR="00876E5E" w:rsidRDefault="00922F55">
      <w:pPr>
        <w:pStyle w:val="Heading2"/>
        <w:spacing w:before="60" w:after="60" w:line="240" w:lineRule="auto"/>
      </w:pPr>
      <w:r>
        <w:rPr>
          <w:sz w:val="21"/>
          <w:lang w:val="en-GB"/>
        </w:rPr>
        <w:t xml:space="preserve">Brief overview of new </w:t>
      </w:r>
      <w:r>
        <w:rPr>
          <w:sz w:val="21"/>
          <w:lang w:val="en-GB"/>
        </w:rPr>
        <w:t>election technologies</w:t>
      </w:r>
    </w:p>
    <w:p w:rsidR="00876E5E" w:rsidRDefault="00922F55">
      <w:pPr>
        <w:pStyle w:val="ListBullet"/>
        <w:spacing w:before="60" w:after="60" w:line="240" w:lineRule="auto"/>
      </w:pPr>
      <w:r>
        <w:rPr>
          <w:sz w:val="21"/>
          <w:lang w:val="en-GB"/>
        </w:rPr>
        <w:t>Biometric voter identification and ballot scanners = a historic step forward for elections in BiH</w:t>
      </w:r>
    </w:p>
    <w:p w:rsidR="00876E5E" w:rsidRDefault="00922F55">
      <w:pPr>
        <w:pStyle w:val="ListBullet"/>
        <w:spacing w:before="60" w:after="60" w:line="240" w:lineRule="auto"/>
      </w:pPr>
      <w:r>
        <w:rPr>
          <w:sz w:val="21"/>
          <w:lang w:val="en-GB"/>
        </w:rPr>
        <w:t>Ballot redesign and changes to the voting procedure = the most significant change for voters</w:t>
      </w:r>
    </w:p>
    <w:p w:rsidR="00876E5E" w:rsidRDefault="00922F55">
      <w:pPr>
        <w:pStyle w:val="ListBullet"/>
        <w:spacing w:before="60" w:after="60" w:line="240" w:lineRule="auto"/>
      </w:pPr>
      <w:r>
        <w:rPr>
          <w:sz w:val="21"/>
          <w:lang w:val="en-GB"/>
        </w:rPr>
        <w:t xml:space="preserve">Challenges: timely and comprehensive voter </w:t>
      </w:r>
      <w:r>
        <w:rPr>
          <w:sz w:val="21"/>
          <w:lang w:val="en-GB"/>
        </w:rPr>
        <w:t>education; thorough, practical training for polling station committees; disinformation</w:t>
      </w:r>
    </w:p>
    <w:p w:rsidR="00876E5E" w:rsidRDefault="00922F55">
      <w:pPr>
        <w:pStyle w:val="Heading2"/>
        <w:spacing w:before="60" w:after="60" w:line="240" w:lineRule="auto"/>
      </w:pPr>
      <w:r>
        <w:rPr>
          <w:sz w:val="21"/>
          <w:lang w:val="en-GB"/>
        </w:rPr>
        <w:t>Electoral irregularities</w:t>
      </w:r>
    </w:p>
    <w:p w:rsidR="00876E5E" w:rsidRDefault="00922F55">
      <w:pPr>
        <w:spacing w:before="60" w:after="60" w:line="240" w:lineRule="auto"/>
      </w:pPr>
      <w:r>
        <w:rPr>
          <w:sz w:val="21"/>
          <w:lang w:val="en-GB"/>
        </w:rPr>
        <w:t>528 electoral irregularities recorded in total</w:t>
      </w:r>
    </w:p>
    <w:p w:rsidR="00876E5E" w:rsidRDefault="00922F55">
      <w:pPr>
        <w:spacing w:before="60" w:after="60" w:line="240" w:lineRule="auto"/>
      </w:pPr>
      <w:r>
        <w:rPr>
          <w:sz w:val="21"/>
          <w:lang w:val="en-GB"/>
        </w:rPr>
        <w:t>118 electoral irregularities reported</w:t>
      </w:r>
    </w:p>
    <w:p w:rsidR="00876E5E" w:rsidRDefault="00922F55">
      <w:pPr>
        <w:spacing w:before="60" w:after="60" w:line="240" w:lineRule="auto"/>
      </w:pPr>
      <w:r>
        <w:rPr>
          <w:sz w:val="21"/>
          <w:lang w:val="en-GB"/>
        </w:rPr>
        <w:t>16 political entities identified as offenders in the submis</w:t>
      </w:r>
      <w:r>
        <w:rPr>
          <w:sz w:val="21"/>
          <w:lang w:val="en-GB"/>
        </w:rPr>
        <w:t>sions requesting action</w:t>
      </w:r>
    </w:p>
    <w:tbl>
      <w:tblPr>
        <w:tblW w:w="0" w:type="auto"/>
        <w:tblLayout w:type="fixed"/>
        <w:tblLook w:val="04A0" w:firstRow="1" w:lastRow="0" w:firstColumn="1" w:lastColumn="0" w:noHBand="0" w:noVBand="1"/>
      </w:tblPr>
      <w:tblGrid>
        <w:gridCol w:w="7654"/>
        <w:gridCol w:w="1757"/>
      </w:tblGrid>
      <w:tr w:rsidR="00876E5E">
        <w:trPr>
          <w:cantSplit/>
          <w:tblHeader/>
        </w:trPr>
        <w:tc>
          <w:tcPr>
            <w:tcW w:w="765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Irregularity</w:t>
            </w:r>
          </w:p>
        </w:tc>
        <w:tc>
          <w:tcPr>
            <w:tcW w:w="175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Cases</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cases of premature campaigning</w:t>
            </w:r>
          </w:p>
        </w:tc>
        <w:tc>
          <w:tcPr>
            <w:tcW w:w="175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206</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cases of misuse of public resources</w:t>
            </w:r>
          </w:p>
        </w:tc>
        <w:tc>
          <w:tcPr>
            <w:tcW w:w="175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206</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irregularities in the formation of polling station committees</w:t>
            </w:r>
          </w:p>
        </w:tc>
        <w:tc>
          <w:tcPr>
            <w:tcW w:w="175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18</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cases of prohibited campaign activities</w:t>
            </w:r>
          </w:p>
        </w:tc>
        <w:tc>
          <w:tcPr>
            <w:tcW w:w="175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17</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 xml:space="preserve">cases of unlawful paid </w:t>
            </w:r>
            <w:r>
              <w:rPr>
                <w:sz w:val="20"/>
              </w:rPr>
              <w:t>advertising</w:t>
            </w:r>
          </w:p>
        </w:tc>
        <w:tc>
          <w:tcPr>
            <w:tcW w:w="175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14</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cases of misuse of children for political purposes</w:t>
            </w:r>
          </w:p>
        </w:tc>
        <w:tc>
          <w:tcPr>
            <w:tcW w:w="175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12</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cases of pressure on voters</w:t>
            </w:r>
          </w:p>
        </w:tc>
        <w:tc>
          <w:tcPr>
            <w:tcW w:w="175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3</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other electoral irregularities</w:t>
            </w:r>
          </w:p>
        </w:tc>
        <w:tc>
          <w:tcPr>
            <w:tcW w:w="175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30</w:t>
            </w:r>
          </w:p>
        </w:tc>
      </w:tr>
    </w:tbl>
    <w:p w:rsidR="00876E5E" w:rsidRDefault="00876E5E">
      <w:pPr>
        <w:spacing w:after="0"/>
      </w:pPr>
    </w:p>
    <w:p w:rsidR="00876E5E" w:rsidRDefault="00922F55">
      <w:pPr>
        <w:pStyle w:val="Heading2"/>
        <w:spacing w:before="60" w:after="60" w:line="240" w:lineRule="auto"/>
      </w:pPr>
      <w:r>
        <w:rPr>
          <w:sz w:val="21"/>
          <w:lang w:val="en-GB"/>
        </w:rPr>
        <w:t>Processed electoral irregularities by political entity</w:t>
      </w:r>
    </w:p>
    <w:p w:rsidR="00876E5E" w:rsidRDefault="00922F55">
      <w:pPr>
        <w:spacing w:before="60" w:after="60" w:line="240" w:lineRule="auto"/>
      </w:pPr>
      <w:r>
        <w:rPr>
          <w:sz w:val="21"/>
          <w:lang w:val="en-GB"/>
        </w:rPr>
        <w:t>44 — SNSD – Milorad Dodik</w:t>
      </w:r>
    </w:p>
    <w:p w:rsidR="00876E5E" w:rsidRDefault="00922F55">
      <w:pPr>
        <w:spacing w:before="60" w:after="60" w:line="240" w:lineRule="auto"/>
      </w:pPr>
      <w:r>
        <w:rPr>
          <w:sz w:val="21"/>
          <w:lang w:val="en-GB"/>
        </w:rPr>
        <w:t>19 — SDP</w:t>
      </w:r>
    </w:p>
    <w:p w:rsidR="00876E5E" w:rsidRDefault="00922F55">
      <w:pPr>
        <w:spacing w:before="60" w:after="60" w:line="240" w:lineRule="auto"/>
      </w:pPr>
      <w:r>
        <w:rPr>
          <w:sz w:val="21"/>
          <w:lang w:val="en-GB"/>
        </w:rPr>
        <w:t>14 — PSS</w:t>
      </w:r>
    </w:p>
    <w:p w:rsidR="00876E5E" w:rsidRDefault="00922F55">
      <w:pPr>
        <w:spacing w:before="60" w:after="60" w:line="240" w:lineRule="auto"/>
      </w:pPr>
      <w:r>
        <w:rPr>
          <w:sz w:val="21"/>
          <w:lang w:val="en-GB"/>
        </w:rPr>
        <w:t>10 — SDA</w:t>
      </w:r>
    </w:p>
    <w:p w:rsidR="00876E5E" w:rsidRDefault="00922F55">
      <w:pPr>
        <w:spacing w:before="60" w:after="60" w:line="240" w:lineRule="auto"/>
      </w:pPr>
      <w:r>
        <w:rPr>
          <w:sz w:val="21"/>
          <w:lang w:val="en-GB"/>
        </w:rPr>
        <w:t xml:space="preserve">5 each — </w:t>
      </w:r>
      <w:r>
        <w:rPr>
          <w:sz w:val="21"/>
          <w:lang w:val="en-GB"/>
        </w:rPr>
        <w:t>Ujedinjena Srpska / Stranka Život</w:t>
      </w:r>
    </w:p>
    <w:p w:rsidR="00876E5E" w:rsidRDefault="00922F55">
      <w:pPr>
        <w:spacing w:before="60" w:after="60" w:line="240" w:lineRule="auto"/>
      </w:pPr>
      <w:r>
        <w:rPr>
          <w:sz w:val="21"/>
          <w:lang w:val="en-GB"/>
        </w:rPr>
        <w:t>3 each — HDZ 1990 / HDZ BiH / NiP / Naša stranka / SDS</w:t>
      </w:r>
    </w:p>
    <w:p w:rsidR="00876E5E" w:rsidRDefault="00922F55">
      <w:pPr>
        <w:spacing w:before="60" w:after="60" w:line="240" w:lineRule="auto"/>
      </w:pPr>
      <w:r>
        <w:rPr>
          <w:sz w:val="21"/>
          <w:lang w:val="en-GB"/>
        </w:rPr>
        <w:t>2 — Volja naroda Srpske</w:t>
      </w:r>
    </w:p>
    <w:p w:rsidR="00876E5E" w:rsidRDefault="00922F55">
      <w:pPr>
        <w:spacing w:before="60" w:after="60" w:line="240" w:lineRule="auto"/>
      </w:pPr>
      <w:r>
        <w:rPr>
          <w:sz w:val="21"/>
          <w:lang w:val="en-GB"/>
        </w:rPr>
        <w:t>1 each — PDA / PDP / SPS / Stranka za BiH</w:t>
      </w:r>
    </w:p>
    <w:p w:rsidR="00876E5E" w:rsidRDefault="00922F55">
      <w:pPr>
        <w:pStyle w:val="Heading2"/>
        <w:spacing w:before="60" w:after="60" w:line="240" w:lineRule="auto"/>
      </w:pPr>
      <w:r>
        <w:rPr>
          <w:sz w:val="21"/>
          <w:lang w:val="en-GB"/>
        </w:rPr>
        <w:t>Protection of electoral rights</w:t>
      </w:r>
    </w:p>
    <w:p w:rsidR="00876E5E" w:rsidRDefault="00922F55">
      <w:pPr>
        <w:spacing w:before="60" w:after="60" w:line="240" w:lineRule="auto"/>
      </w:pPr>
      <w:r>
        <w:rPr>
          <w:sz w:val="21"/>
          <w:lang w:val="en-GB"/>
        </w:rPr>
        <w:t>101 submissions requesting action</w:t>
      </w:r>
    </w:p>
    <w:p w:rsidR="00876E5E" w:rsidRDefault="00922F55">
      <w:pPr>
        <w:spacing w:before="60" w:after="60" w:line="240" w:lineRule="auto"/>
      </w:pPr>
      <w:r>
        <w:rPr>
          <w:sz w:val="21"/>
          <w:lang w:val="en-GB"/>
        </w:rPr>
        <w:t>17 sanctions against political parti</w:t>
      </w:r>
      <w:r>
        <w:rPr>
          <w:sz w:val="21"/>
          <w:lang w:val="en-GB"/>
        </w:rPr>
        <w:t>es and candidates</w:t>
      </w:r>
    </w:p>
    <w:p w:rsidR="00876E5E" w:rsidRDefault="00922F55">
      <w:pPr>
        <w:spacing w:before="60" w:after="60" w:line="240" w:lineRule="auto"/>
      </w:pPr>
      <w:r>
        <w:rPr>
          <w:sz w:val="21"/>
          <w:lang w:val="en-GB"/>
        </w:rPr>
        <w:t>BAM 87,500 in sanctions imposed following reports by the “Pod lupom” Coalition</w:t>
      </w:r>
    </w:p>
    <w:p w:rsidR="00876E5E" w:rsidRDefault="00922F55">
      <w:r>
        <w:rPr>
          <w:lang w:val="en-GB"/>
        </w:rPr>
        <w:br w:type="page"/>
      </w:r>
    </w:p>
    <w:p w:rsidR="00876E5E" w:rsidRDefault="00922F55">
      <w:pPr>
        <w:pStyle w:val="Heading1"/>
      </w:pPr>
      <w:r>
        <w:rPr>
          <w:lang w:val="en-GB"/>
        </w:rPr>
        <w:lastRenderedPageBreak/>
        <w:t>The “Pod lupom” Coalition observation mission for the 2026 General Elections</w:t>
      </w:r>
    </w:p>
    <w:p w:rsidR="00876E5E" w:rsidRDefault="00922F55">
      <w:r>
        <w:rPr>
          <w:lang w:val="en-GB"/>
        </w:rPr>
        <w:t>The Coalition for Free and Fair Elections “Pod lupom” is conducting a citizen, n</w:t>
      </w:r>
      <w:r>
        <w:rPr>
          <w:lang w:val="en-GB"/>
        </w:rPr>
        <w:t>on-partisan election observation mission for the 2026 General Elections, contributing to a more transparent and accountable electoral process in Bosnia and Herzegovina.</w:t>
      </w:r>
    </w:p>
    <w:p w:rsidR="00876E5E" w:rsidRDefault="00922F55">
      <w:r>
        <w:rPr>
          <w:lang w:val="en-GB"/>
        </w:rPr>
        <w:t>This is a particularly important component of the electoral process, as non-partisan el</w:t>
      </w:r>
      <w:r>
        <w:rPr>
          <w:lang w:val="en-GB"/>
        </w:rPr>
        <w:t>ection observation helps restore citizens’ trust in elections and makes a significant contribution to preventing electoral irregularities.</w:t>
      </w:r>
    </w:p>
    <w:p w:rsidR="00876E5E" w:rsidRDefault="00922F55">
      <w:r>
        <w:rPr>
          <w:lang w:val="en-GB"/>
        </w:rPr>
        <w:t>The mission for the 2026 General Elections involves 10 project team members, 37 member organisations of the “Pod lupo</w:t>
      </w:r>
      <w:r>
        <w:rPr>
          <w:lang w:val="en-GB"/>
        </w:rPr>
        <w:t>m” Coalition, 57 electoral process observers — including 15 long-term observers (LTOs) monitoring and reporting electoral irregularities and 42 recruiters and trainers of election-day observers (STOs) — and 1,000 election-day observers who will be deployed</w:t>
      </w:r>
      <w:r>
        <w:rPr>
          <w:lang w:val="en-GB"/>
        </w:rPr>
        <w:t xml:space="preserve"> to polling stations across the country.</w:t>
      </w:r>
    </w:p>
    <w:p w:rsidR="00876E5E" w:rsidRDefault="00922F55">
      <w:r>
        <w:rPr>
          <w:lang w:val="en-GB"/>
        </w:rPr>
        <w:t>The observation mission for the 2026 General Elections is supported by the Ministry of Foreign Affairs of the Kingdom of Denmark.</w:t>
      </w:r>
    </w:p>
    <w:tbl>
      <w:tblPr>
        <w:tblW w:w="0" w:type="auto"/>
        <w:tblLayout w:type="fixed"/>
        <w:tblLook w:val="04A0" w:firstRow="1" w:lastRow="0" w:firstColumn="1" w:lastColumn="0" w:noHBand="0" w:noVBand="1"/>
      </w:tblPr>
      <w:tblGrid>
        <w:gridCol w:w="7654"/>
        <w:gridCol w:w="1757"/>
      </w:tblGrid>
      <w:tr w:rsidR="00876E5E">
        <w:trPr>
          <w:cantSplit/>
          <w:tblHeader/>
        </w:trPr>
        <w:tc>
          <w:tcPr>
            <w:tcW w:w="765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Observation mission</w:t>
            </w:r>
          </w:p>
        </w:tc>
        <w:tc>
          <w:tcPr>
            <w:tcW w:w="175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Number</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Project team members</w:t>
            </w:r>
          </w:p>
        </w:tc>
        <w:tc>
          <w:tcPr>
            <w:tcW w:w="175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10</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Civil society organisations</w:t>
            </w:r>
          </w:p>
        </w:tc>
        <w:tc>
          <w:tcPr>
            <w:tcW w:w="175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37</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Long-term observers</w:t>
            </w:r>
          </w:p>
        </w:tc>
        <w:tc>
          <w:tcPr>
            <w:tcW w:w="175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57</w:t>
            </w:r>
          </w:p>
        </w:tc>
      </w:tr>
      <w:tr w:rsidR="00876E5E">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Election-day observers</w:t>
            </w:r>
          </w:p>
        </w:tc>
        <w:tc>
          <w:tcPr>
            <w:tcW w:w="175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1,000</w:t>
            </w:r>
          </w:p>
        </w:tc>
      </w:tr>
    </w:tbl>
    <w:p w:rsidR="00876E5E" w:rsidRDefault="00876E5E">
      <w:pPr>
        <w:spacing w:after="0"/>
      </w:pPr>
    </w:p>
    <w:p w:rsidR="00876E5E" w:rsidRDefault="00922F55">
      <w:r>
        <w:rPr>
          <w:lang w:val="en-GB"/>
        </w:rPr>
        <w:br w:type="page"/>
      </w:r>
    </w:p>
    <w:p w:rsidR="00876E5E" w:rsidRDefault="00922F55">
      <w:pPr>
        <w:pStyle w:val="Heading1"/>
      </w:pPr>
      <w:r>
        <w:rPr>
          <w:lang w:val="en-GB"/>
        </w:rPr>
        <w:lastRenderedPageBreak/>
        <w:t>Brief overview of new election technologies and key observations</w:t>
      </w:r>
    </w:p>
    <w:p w:rsidR="00876E5E" w:rsidRDefault="00922F55">
      <w:r>
        <w:rPr>
          <w:noProof/>
        </w:rPr>
        <w:drawing>
          <wp:inline distT="0" distB="0" distL="0" distR="0">
            <wp:extent cx="2520000" cy="18040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ch1.png"/>
                    <pic:cNvPicPr/>
                  </pic:nvPicPr>
                  <pic:blipFill>
                    <a:blip r:embed="rId10"/>
                    <a:stretch>
                      <a:fillRect/>
                    </a:stretch>
                  </pic:blipFill>
                  <pic:spPr>
                    <a:xfrm>
                      <a:off x="0" y="0"/>
                      <a:ext cx="2520000" cy="1804091"/>
                    </a:xfrm>
                    <a:prstGeom prst="rect">
                      <a:avLst/>
                    </a:prstGeom>
                  </pic:spPr>
                </pic:pic>
              </a:graphicData>
            </a:graphic>
          </wp:inline>
        </w:drawing>
      </w:r>
      <w:r>
        <w:rPr>
          <w:lang w:val="en-GB"/>
        </w:rPr>
        <w:t xml:space="preserve">  </w:t>
      </w:r>
      <w:r>
        <w:rPr>
          <w:noProof/>
        </w:rPr>
        <w:drawing>
          <wp:inline distT="0" distB="0" distL="0" distR="0">
            <wp:extent cx="2520000" cy="17070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ch2.png"/>
                    <pic:cNvPicPr/>
                  </pic:nvPicPr>
                  <pic:blipFill>
                    <a:blip r:embed="rId11"/>
                    <a:stretch>
                      <a:fillRect/>
                    </a:stretch>
                  </pic:blipFill>
                  <pic:spPr>
                    <a:xfrm>
                      <a:off x="0" y="0"/>
                      <a:ext cx="2520000" cy="1707097"/>
                    </a:xfrm>
                    <a:prstGeom prst="rect">
                      <a:avLst/>
                    </a:prstGeom>
                  </pic:spPr>
                </pic:pic>
              </a:graphicData>
            </a:graphic>
          </wp:inline>
        </w:drawing>
      </w:r>
    </w:p>
    <w:p w:rsidR="00876E5E" w:rsidRDefault="00922F55">
      <w:pPr>
        <w:pStyle w:val="Caption"/>
      </w:pPr>
      <w:r>
        <w:rPr>
          <w:lang w:val="en-GB"/>
        </w:rPr>
        <w:t>Biometric voter identification and authentication                     Ballot scanners</w:t>
      </w:r>
    </w:p>
    <w:p w:rsidR="00876E5E" w:rsidRDefault="00922F55">
      <w:r>
        <w:rPr>
          <w:lang w:val="en-GB"/>
        </w:rPr>
        <w:t xml:space="preserve">The 2026 General Elections mark a </w:t>
      </w:r>
      <w:r>
        <w:rPr>
          <w:lang w:val="en-GB"/>
        </w:rPr>
        <w:t>significant turning point in the electoral process in Bosnia and Herzegovina, primarily through the introduction of biometric voter identification and authentication and ballot scanners. These are reform measures whose introduction the “Pod lupom” Coalitio</w:t>
      </w:r>
      <w:r>
        <w:rPr>
          <w:lang w:val="en-GB"/>
        </w:rPr>
        <w:t>n has consistently advocated, recognising their potential to strengthen electoral integrity, completely eliminate certain forms of electoral irregularity and increase citizens’ trust in the electoral process.</w:t>
      </w:r>
    </w:p>
    <w:p w:rsidR="00876E5E" w:rsidRDefault="00922F55">
      <w:r>
        <w:rPr>
          <w:lang w:val="en-GB"/>
        </w:rPr>
        <w:t>Biometric voter identification and authenticati</w:t>
      </w:r>
      <w:r>
        <w:rPr>
          <w:lang w:val="en-GB"/>
        </w:rPr>
        <w:t>on prevent electoral irregularities such as voting on behalf of another person (for example, deceased persons on the voter register or voters who have not turned out), voting more than once, and identity misuse after polling stations close, namely the subs</w:t>
      </w:r>
      <w:r>
        <w:rPr>
          <w:lang w:val="en-GB"/>
        </w:rPr>
        <w:t>equent filling in of ballot papers. In addition, biometric voter identification will enable precise and accurate monitoring of turnout in real time.</w:t>
      </w:r>
    </w:p>
    <w:p w:rsidR="00876E5E" w:rsidRDefault="00922F55">
      <w:r>
        <w:rPr>
          <w:lang w:val="en-GB"/>
        </w:rPr>
        <w:t>Ballot scanners prevent electoral irregularities such as adding votes or preferences for candidates on part</w:t>
      </w:r>
      <w:r>
        <w:rPr>
          <w:lang w:val="en-GB"/>
        </w:rPr>
        <w:t xml:space="preserve">y lists; invalidating votes for political opponents by turning valid ballots into invalid ones; and misusing blank ballot papers after polling stations close. They also prevent counting errors caused by human factors. Additional benefits are that scanners </w:t>
      </w:r>
      <w:r>
        <w:rPr>
          <w:lang w:val="en-GB"/>
        </w:rPr>
        <w:t>count every vote accurately and quickly, allowing accurate preliminary election results to become available very soon after polling stations close.</w:t>
      </w:r>
    </w:p>
    <w:p w:rsidR="00876E5E" w:rsidRDefault="00922F55">
      <w:r>
        <w:rPr>
          <w:lang w:val="en-GB"/>
        </w:rPr>
        <w:t>New election technologies also enable results to be transmitted directly from polling stations. This means t</w:t>
      </w:r>
      <w:r>
        <w:rPr>
          <w:lang w:val="en-GB"/>
        </w:rPr>
        <w:t xml:space="preserve">hat electoral irregularities such as opening bags during the transport of election materials and manipulating ballot papers and election results will be eliminated, as will manipulation during the entry of results at municipal and city election commission </w:t>
      </w:r>
      <w:r>
        <w:rPr>
          <w:lang w:val="en-GB"/>
        </w:rPr>
        <w:t>premises.</w:t>
      </w:r>
    </w:p>
    <w:p w:rsidR="00876E5E" w:rsidRDefault="00922F55">
      <w:r>
        <w:rPr>
          <w:lang w:val="en-GB"/>
        </w:rPr>
        <w:t>However, it is important to emphasise that the introduction of new election technologies has faced challenges. There was prolonged obstruction of the establishment of the necessary legal framework, as well as delays in securing funding. Deliberat</w:t>
      </w:r>
      <w:r>
        <w:rPr>
          <w:lang w:val="en-GB"/>
        </w:rPr>
        <w:t>e obstruction of public procurement further slowed implementation, ultimately delaying numerous important processes.</w:t>
      </w:r>
    </w:p>
    <w:p w:rsidR="00876E5E" w:rsidRDefault="00922F55">
      <w:r>
        <w:rPr>
          <w:lang w:val="en-GB"/>
        </w:rPr>
        <w:t>The late completion of certain stages left limited time for comprehensive voter preparation and education. This is particularly significant</w:t>
      </w:r>
      <w:r>
        <w:rPr>
          <w:lang w:val="en-GB"/>
        </w:rPr>
        <w:t xml:space="preserve"> because, in the forthcoming elections, citizens will encounter a new identification procedure and ballot-scanning technology for the first time, alongside changes to voting procedures that require additional explanation.</w:t>
      </w:r>
    </w:p>
    <w:p w:rsidR="00876E5E" w:rsidRDefault="00922F55">
      <w:r>
        <w:rPr>
          <w:lang w:val="en-GB"/>
        </w:rPr>
        <w:t>The most significant challenge dur</w:t>
      </w:r>
      <w:r>
        <w:rPr>
          <w:lang w:val="en-GB"/>
        </w:rPr>
        <w:t>ing the reporting period was the relatively late start of systematic voter education. Changes to the voting procedure represent a major change for voters, so adequate preparation requires sufficient time for information, understanding and practical familia</w:t>
      </w:r>
      <w:r>
        <w:rPr>
          <w:lang w:val="en-GB"/>
        </w:rPr>
        <w:t>risation with the new procedures.</w:t>
      </w:r>
    </w:p>
    <w:p w:rsidR="00876E5E" w:rsidRDefault="00922F55">
      <w:r>
        <w:rPr>
          <w:lang w:val="en-GB"/>
        </w:rPr>
        <w:lastRenderedPageBreak/>
        <w:t>The introduction of biometric identification and scanners is a historic step in modernising the electoral process in BiH. However, technological progress must be accompanied by adequate institutional preparation and, parti</w:t>
      </w:r>
      <w:r>
        <w:rPr>
          <w:lang w:val="en-GB"/>
        </w:rPr>
        <w:t>cularly, timely and comprehensive public education. In the remaining period, the focus should therefore shift to preparing voters to use the technology in practice, so that election day runs as simply and efficiently as possible, without unnecessary uncert</w:t>
      </w:r>
      <w:r>
        <w:rPr>
          <w:lang w:val="en-GB"/>
        </w:rPr>
        <w:t>ainty for citizens.</w:t>
      </w:r>
    </w:p>
    <w:p w:rsidR="00876E5E" w:rsidRDefault="00922F55">
      <w:r>
        <w:rPr>
          <w:lang w:val="en-GB"/>
        </w:rPr>
        <w:t>A further cause for concern is the level of preparedness of polling station committee members to implement the new technologies and procedures. According to information available to the “Pod lupom” Coalition, there are uncertainties abo</w:t>
      </w:r>
      <w:r>
        <w:rPr>
          <w:lang w:val="en-GB"/>
        </w:rPr>
        <w:t>ut the scope and delivery of training for polling station committees, particularly given the complexity of the changes they will face on election day. As committee members will play a key role in correctly implementing the new procedures, their practical c</w:t>
      </w:r>
      <w:r>
        <w:rPr>
          <w:lang w:val="en-GB"/>
        </w:rPr>
        <w:t>ompetence is particularly important for the smooth conduct of voting. Training that is insufficiently thorough and practical could lead to inconsistent conduct, uncertainty and differing interpretations of procedures at polling stations, potentially affect</w:t>
      </w:r>
      <w:r>
        <w:rPr>
          <w:lang w:val="en-GB"/>
        </w:rPr>
        <w:t>ing the efficiency and regularity of the electoral process. It is therefore important that training for polling station committee members be as comprehensive as possible and focus on the practical application of all new procedures, so that any uncertaintie</w:t>
      </w:r>
      <w:r>
        <w:rPr>
          <w:lang w:val="en-GB"/>
        </w:rPr>
        <w:t>s are resolved before election day rather than during voting itself.</w:t>
      </w:r>
    </w:p>
    <w:p w:rsidR="00876E5E" w:rsidRDefault="00922F55">
      <w:r>
        <w:rPr>
          <w:lang w:val="en-GB"/>
        </w:rPr>
        <w:t>The introduction of new election technologies has also been accompanied by an increased presence of disinformation and inaccurate or misleading claims in public discourse. As citizens are</w:t>
      </w:r>
      <w:r>
        <w:rPr>
          <w:lang w:val="en-GB"/>
        </w:rPr>
        <w:t xml:space="preserve"> encountering biometric identification and ballot scanners for the first time, the spread of inaccurate information may further increase uncertainty and distrust of the new procedures. A particular risk is that some claims are presented as facts despite la</w:t>
      </w:r>
      <w:r>
        <w:rPr>
          <w:lang w:val="en-GB"/>
        </w:rPr>
        <w:t>cking relevant evidence, potentially creating unnecessary fear among citizens about voting and the new technologies.</w:t>
      </w:r>
    </w:p>
    <w:p w:rsidR="00876E5E" w:rsidRDefault="00922F55">
      <w:r>
        <w:rPr>
          <w:lang w:val="en-GB"/>
        </w:rPr>
        <w:t>Claims circulating publicly include assertions that such technologies are allegedly not used anywhere in the world; that they represent for</w:t>
      </w:r>
      <w:r>
        <w:rPr>
          <w:lang w:val="en-GB"/>
        </w:rPr>
        <w:t>eign interference in the electoral process; that the entire system will become inoperative in the event of a power outage; that the technologies are unsafe; that older voters will be unable to vote; that their use is not in the interests of certain constit</w:t>
      </w:r>
      <w:r>
        <w:rPr>
          <w:lang w:val="en-GB"/>
        </w:rPr>
        <w:t>uent peoples; or that it will be possible to identify how an individual voter voted.</w:t>
      </w:r>
    </w:p>
    <w:p w:rsidR="00876E5E" w:rsidRDefault="00922F55">
      <w:r>
        <w:rPr>
          <w:lang w:val="en-GB"/>
        </w:rPr>
        <w:t>It is particularly important to emphasise that the introduction of new technologies does not compromise ballot secrecy. Citizens should not fear that biometric identificat</w:t>
      </w:r>
      <w:r>
        <w:rPr>
          <w:lang w:val="en-GB"/>
        </w:rPr>
        <w:t>ion or scanners will make it possible to link their identity to the choice marked on their ballot. Voter education should therefore include a strong information component explaining both what the new technologies do and what they do not do, to reduce the s</w:t>
      </w:r>
      <w:r>
        <w:rPr>
          <w:lang w:val="en-GB"/>
        </w:rPr>
        <w:t>cope for spreading fear and distrust.</w:t>
      </w:r>
    </w:p>
    <w:p w:rsidR="00876E5E" w:rsidRDefault="00922F55">
      <w:r>
        <w:rPr>
          <w:lang w:val="en-GB"/>
        </w:rPr>
        <w:br w:type="page"/>
      </w:r>
    </w:p>
    <w:p w:rsidR="00876E5E" w:rsidRDefault="00922F55">
      <w:pPr>
        <w:pStyle w:val="Heading1"/>
      </w:pPr>
      <w:r>
        <w:rPr>
          <w:lang w:val="en-GB"/>
        </w:rPr>
        <w:lastRenderedPageBreak/>
        <w:t>Electoral irregularities in the pre-election period</w:t>
      </w:r>
    </w:p>
    <w:p w:rsidR="00876E5E" w:rsidRDefault="00922F55">
      <w:r>
        <w:rPr>
          <w:lang w:val="en-GB"/>
        </w:rPr>
        <w:t>Since the observation mission began on 27 July 2026, the “Pod lupom” Coalition has recorded a total of 528 electoral irregularities.</w:t>
      </w:r>
    </w:p>
    <w:p w:rsidR="00876E5E" w:rsidRDefault="00922F55">
      <w:r>
        <w:rPr>
          <w:lang w:val="en-GB"/>
        </w:rPr>
        <w:t>The largest numbers of electora</w:t>
      </w:r>
      <w:r>
        <w:rPr>
          <w:lang w:val="en-GB"/>
        </w:rPr>
        <w:t>l irregularities concern premature campaigning (206 cases), misuse of public resources (206 cases), irregularities in the formation of polling station committees (18 cases), prohibited campaign activities (17 cases), unlawful paid advertising (14 cases), m</w:t>
      </w:r>
      <w:r>
        <w:rPr>
          <w:lang w:val="en-GB"/>
        </w:rPr>
        <w:t>isuse of children for political purposes (12 cases), pressure on voters (3 cases), and other electoral irregularities (30 cases).</w:t>
      </w:r>
    </w:p>
    <w:tbl>
      <w:tblPr>
        <w:tblW w:w="0" w:type="auto"/>
        <w:tblLayout w:type="fixed"/>
        <w:tblLook w:val="04A0" w:firstRow="1" w:lastRow="0" w:firstColumn="1" w:lastColumn="0" w:noHBand="0" w:noVBand="1"/>
      </w:tblPr>
      <w:tblGrid>
        <w:gridCol w:w="6690"/>
        <w:gridCol w:w="1361"/>
        <w:gridCol w:w="1361"/>
      </w:tblGrid>
      <w:tr w:rsidR="00876E5E">
        <w:trPr>
          <w:cantSplit/>
          <w:tblHeader/>
        </w:trPr>
        <w:tc>
          <w:tcPr>
            <w:tcW w:w="6690"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Recorded electoral irregularities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Cases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Share</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Misuse of public resources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206</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40.71%</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Premature campaigning</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206</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40.71%</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 xml:space="preserve">Other </w:t>
            </w:r>
            <w:r>
              <w:rPr>
                <w:sz w:val="20"/>
              </w:rPr>
              <w:t>irregularities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30</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5.93%</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Irregularities in the formation of polling station committees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18</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3.56%</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Prohibited campaign activities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17</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3.36%</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Unlawful paid advertising</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14</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2.77%</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Misuse of children for political purposes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12</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2.37%</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Pressure on voters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3</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0.59%</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Total</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528</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876E5E">
            <w:pPr>
              <w:spacing w:before="40" w:after="40" w:line="240" w:lineRule="auto"/>
            </w:pPr>
          </w:p>
        </w:tc>
      </w:tr>
    </w:tbl>
    <w:p w:rsidR="00876E5E" w:rsidRDefault="00876E5E">
      <w:pPr>
        <w:spacing w:after="0"/>
      </w:pPr>
    </w:p>
    <w:p w:rsidR="00876E5E" w:rsidRDefault="00922F55">
      <w:r>
        <w:rPr>
          <w:lang w:val="en-GB"/>
        </w:rPr>
        <w:t>Of these, the “Pod lupom” Coalition has so far processed and reported 118 electoral irregularities.</w:t>
      </w:r>
    </w:p>
    <w:tbl>
      <w:tblPr>
        <w:tblW w:w="0" w:type="auto"/>
        <w:tblLayout w:type="fixed"/>
        <w:tblLook w:val="04A0" w:firstRow="1" w:lastRow="0" w:firstColumn="1" w:lastColumn="0" w:noHBand="0" w:noVBand="1"/>
      </w:tblPr>
      <w:tblGrid>
        <w:gridCol w:w="6690"/>
        <w:gridCol w:w="1361"/>
        <w:gridCol w:w="1361"/>
      </w:tblGrid>
      <w:tr w:rsidR="00876E5E">
        <w:trPr>
          <w:cantSplit/>
          <w:tblHeader/>
        </w:trPr>
        <w:tc>
          <w:tcPr>
            <w:tcW w:w="6690"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Reported electoral irregularities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Cases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Share</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Premature campaigning</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95</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80.51%</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Misuse of children for political purposes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8</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6.78%</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 xml:space="preserve">Misuse of </w:t>
            </w:r>
            <w:r>
              <w:rPr>
                <w:sz w:val="20"/>
              </w:rPr>
              <w:t>public resources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8</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6.78%</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Unlawful paid advertising</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3</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2.54%</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r>
              <w:t>Violations of media rules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3</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2.54%</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Other electoral irregularities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0.85%</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Total</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118</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876E5E">
            <w:pPr>
              <w:spacing w:before="40" w:after="40" w:line="240" w:lineRule="auto"/>
            </w:pPr>
          </w:p>
        </w:tc>
      </w:tr>
    </w:tbl>
    <w:p w:rsidR="00876E5E" w:rsidRDefault="00876E5E">
      <w:pPr>
        <w:spacing w:after="0"/>
      </w:pPr>
    </w:p>
    <w:p w:rsidR="00876E5E" w:rsidRDefault="00922F55">
      <w:r>
        <w:rPr>
          <w:lang w:val="en-GB"/>
        </w:rPr>
        <w:t>The processed submissions concern a total of 16 political entities. By number of irregularities, these are:</w:t>
      </w:r>
      <w:r>
        <w:rPr>
          <w:lang w:val="en-GB"/>
        </w:rPr>
        <w:t xml:space="preserve"> SNSD – Milorad Dodik (44), SDP (19), PSS (14), SDA (10), Ujedinjena Srpska / Stranka Život (5 each), HDZ 1990 / HDZ BiH / NiP / Naša stranka / SDS (3 each), Volja naroda Srpske (2), and PDA / PDP / SPS / Stranka za BiH (1 each).</w:t>
      </w:r>
    </w:p>
    <w:tbl>
      <w:tblPr>
        <w:tblW w:w="0" w:type="auto"/>
        <w:tblLayout w:type="fixed"/>
        <w:tblLook w:val="04A0" w:firstRow="1" w:lastRow="0" w:firstColumn="1" w:lastColumn="0" w:noHBand="0" w:noVBand="1"/>
      </w:tblPr>
      <w:tblGrid>
        <w:gridCol w:w="7427"/>
        <w:gridCol w:w="1984"/>
      </w:tblGrid>
      <w:tr w:rsidR="00876E5E">
        <w:trPr>
          <w:cantSplit/>
          <w:tblHeader/>
        </w:trPr>
        <w:tc>
          <w:tcPr>
            <w:tcW w:w="742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lastRenderedPageBreak/>
              <w:t>Political entity</w:t>
            </w:r>
          </w:p>
        </w:tc>
        <w:tc>
          <w:tcPr>
            <w:tcW w:w="198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Irregular</w:t>
            </w:r>
            <w:r>
              <w:rPr>
                <w:b/>
                <w:color w:val="FFFFFF"/>
                <w:sz w:val="20"/>
              </w:rPr>
              <w:t>ities</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SNSD – Milorad Dodik</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44</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SDP</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19</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PSS (Pokret sigurna Srpska)</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14</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SDA</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10</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Ujedinjena Srpska / Stranka Život</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5 each</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HDZ 1990 / HDZ BiH / NiP / Naša stranka / SDS</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3 each</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Volja naroda Srpske</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2</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PDA / PDP / SPS / Stranka za BiH</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 each</w:t>
            </w:r>
          </w:p>
        </w:tc>
      </w:tr>
    </w:tbl>
    <w:p w:rsidR="00876E5E" w:rsidRDefault="00876E5E">
      <w:pPr>
        <w:spacing w:after="0"/>
      </w:pPr>
    </w:p>
    <w:p w:rsidR="00876E5E" w:rsidRDefault="00922F55">
      <w:r>
        <w:rPr>
          <w:lang w:val="en-GB"/>
        </w:rPr>
        <w:br w:type="page"/>
      </w:r>
    </w:p>
    <w:p w:rsidR="00876E5E" w:rsidRDefault="00922F55">
      <w:pPr>
        <w:pStyle w:val="Heading1"/>
      </w:pPr>
      <w:r>
        <w:rPr>
          <w:lang w:val="en-GB"/>
        </w:rPr>
        <w:lastRenderedPageBreak/>
        <w:t xml:space="preserve">Premature </w:t>
      </w:r>
      <w:r>
        <w:rPr>
          <w:lang w:val="en-GB"/>
        </w:rPr>
        <w:t>election campaigning</w:t>
      </w:r>
    </w:p>
    <w:p w:rsidR="00876E5E" w:rsidRDefault="00922F55">
      <w:r>
        <w:rPr>
          <w:lang w:val="en-GB"/>
        </w:rPr>
        <w:t>Particular attention should be drawn to a problem that has arisen in this electoral cycle concerning the application of the ban on premature election campaigning during the period after elections are called but before political entitie</w:t>
      </w:r>
      <w:r>
        <w:rPr>
          <w:lang w:val="en-GB"/>
        </w:rPr>
        <w:t>s and candidates are certified to participate. Although the legal framework clearly provides that premature election campaigning is prohibited from the day elections are called, this electoral cycle has seen political entities and, in some cases, candidate</w:t>
      </w:r>
      <w:r>
        <w:rPr>
          <w:lang w:val="en-GB"/>
        </w:rPr>
        <w:t>s conduct activities bearing the characteristics of an election campaign without a timely and adequate response from the competent institutions until their certification to participate in the elections.</w:t>
      </w:r>
    </w:p>
    <w:p w:rsidR="00876E5E" w:rsidRDefault="00922F55">
      <w:r>
        <w:rPr>
          <w:lang w:val="en-GB"/>
        </w:rPr>
        <w:t>This approach has directly affected the effectiveness</w:t>
      </w:r>
      <w:r>
        <w:rPr>
          <w:lang w:val="en-GB"/>
        </w:rPr>
        <w:t xml:space="preserve"> of the enforcement of electoral rules. A significant number of recorded cases of premature campaigning and prohibited paid advertising have not resulted in sanctions, calling into question the effectiveness of a ban that should apply from the day election</w:t>
      </w:r>
      <w:r>
        <w:rPr>
          <w:lang w:val="en-GB"/>
        </w:rPr>
        <w:t>s are called. Particularly concerning is the fact that similar conduct was sanctioned in previous electoral cycles, whereas the competent institutions have adopted a different practice in the current cycle.</w:t>
      </w:r>
    </w:p>
    <w:p w:rsidR="00876E5E" w:rsidRDefault="00922F55">
      <w:r>
        <w:rPr>
          <w:lang w:val="en-GB"/>
        </w:rPr>
        <w:t>From the perspective of electoral integrity, it i</w:t>
      </w:r>
      <w:r>
        <w:rPr>
          <w:lang w:val="en-GB"/>
        </w:rPr>
        <w:t>s particularly important that sanctioning practices be consistent, clear, predictable and applied equally to all political entities and candidates. Sanctions for prohibited activities should not depend on whether a political entity or candidate had already</w:t>
      </w:r>
      <w:r>
        <w:rPr>
          <w:lang w:val="en-GB"/>
        </w:rPr>
        <w:t xml:space="preserve"> completed the certification process at the time of the offence, where the statutory ban explicitly begins on the day elections are called.</w:t>
      </w:r>
    </w:p>
    <w:p w:rsidR="00876E5E" w:rsidRDefault="00922F55">
      <w:pPr>
        <w:pStyle w:val="Heading2"/>
      </w:pPr>
      <w:r>
        <w:rPr>
          <w:lang w:val="en-GB"/>
        </w:rPr>
        <w:t>Examples of sanctions for premature campaigning</w:t>
      </w:r>
    </w:p>
    <w:p w:rsidR="00876E5E" w:rsidRDefault="00922F55">
      <w:pPr>
        <w:jc w:val="center"/>
      </w:pPr>
      <w:r>
        <w:rPr>
          <w:noProof/>
        </w:rPr>
        <w:drawing>
          <wp:inline distT="0" distB="0" distL="0" distR="0">
            <wp:extent cx="1655999" cy="16283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7_0.png"/>
                    <pic:cNvPicPr/>
                  </pic:nvPicPr>
                  <pic:blipFill>
                    <a:blip r:embed="rId12"/>
                    <a:stretch>
                      <a:fillRect/>
                    </a:stretch>
                  </pic:blipFill>
                  <pic:spPr>
                    <a:xfrm>
                      <a:off x="0" y="0"/>
                      <a:ext cx="1655999" cy="1628399"/>
                    </a:xfrm>
                    <a:prstGeom prst="rect">
                      <a:avLst/>
                    </a:prstGeom>
                  </pic:spPr>
                </pic:pic>
              </a:graphicData>
            </a:graphic>
          </wp:inline>
        </w:drawing>
      </w:r>
      <w:r>
        <w:rPr>
          <w:lang w:val="en-GB"/>
        </w:rPr>
        <w:t xml:space="preserve">  </w:t>
      </w:r>
      <w:r>
        <w:rPr>
          <w:noProof/>
        </w:rPr>
        <w:drawing>
          <wp:inline distT="0" distB="0" distL="0" distR="0">
            <wp:extent cx="1655999" cy="165599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7_1.png"/>
                    <pic:cNvPicPr/>
                  </pic:nvPicPr>
                  <pic:blipFill>
                    <a:blip r:embed="rId13"/>
                    <a:stretch>
                      <a:fillRect/>
                    </a:stretch>
                  </pic:blipFill>
                  <pic:spPr>
                    <a:xfrm>
                      <a:off x="0" y="0"/>
                      <a:ext cx="1655999" cy="1655999"/>
                    </a:xfrm>
                    <a:prstGeom prst="rect">
                      <a:avLst/>
                    </a:prstGeom>
                  </pic:spPr>
                </pic:pic>
              </a:graphicData>
            </a:graphic>
          </wp:inline>
        </w:drawing>
      </w:r>
      <w:r>
        <w:rPr>
          <w:lang w:val="en-GB"/>
        </w:rPr>
        <w:t xml:space="preserve">  </w:t>
      </w:r>
      <w:r>
        <w:rPr>
          <w:noProof/>
        </w:rPr>
        <w:drawing>
          <wp:inline distT="0" distB="0" distL="0" distR="0">
            <wp:extent cx="1655999" cy="16283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7_2.png"/>
                    <pic:cNvPicPr/>
                  </pic:nvPicPr>
                  <pic:blipFill>
                    <a:blip r:embed="rId14"/>
                    <a:stretch>
                      <a:fillRect/>
                    </a:stretch>
                  </pic:blipFill>
                  <pic:spPr>
                    <a:xfrm>
                      <a:off x="0" y="0"/>
                      <a:ext cx="1655999" cy="1628399"/>
                    </a:xfrm>
                    <a:prstGeom prst="rect">
                      <a:avLst/>
                    </a:prstGeom>
                  </pic:spPr>
                </pic:pic>
              </a:graphicData>
            </a:graphic>
          </wp:inline>
        </w:drawing>
      </w:r>
      <w:r>
        <w:rPr>
          <w:lang w:val="en-GB"/>
        </w:rPr>
        <w:t xml:space="preserve">  </w:t>
      </w:r>
    </w:p>
    <w:tbl>
      <w:tblPr>
        <w:tblW w:w="0" w:type="auto"/>
        <w:tblLayout w:type="fixed"/>
        <w:tblLook w:val="04A0" w:firstRow="1" w:lastRow="0" w:firstColumn="1" w:lastColumn="0" w:noHBand="0" w:noVBand="1"/>
      </w:tblPr>
      <w:tblGrid>
        <w:gridCol w:w="5953"/>
        <w:gridCol w:w="3458"/>
      </w:tblGrid>
      <w:tr w:rsidR="00876E5E">
        <w:trPr>
          <w:cantSplit/>
          <w:tblHeader/>
        </w:trPr>
        <w:tc>
          <w:tcPr>
            <w:tcW w:w="5953"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Conduct</w:t>
            </w:r>
          </w:p>
        </w:tc>
        <w:tc>
          <w:tcPr>
            <w:tcW w:w="3458"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Sanctions imposed</w:t>
            </w:r>
          </w:p>
        </w:tc>
      </w:tr>
      <w:tr w:rsidR="00876E5E">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 xml:space="preserve">Presentation of an asphalt </w:t>
            </w:r>
            <w:r>
              <w:rPr>
                <w:sz w:val="20"/>
              </w:rPr>
              <w:t>paving project, criticism of the current government and attribution of credit to the party</w:t>
            </w:r>
          </w:p>
        </w:tc>
        <w:tc>
          <w:tcPr>
            <w:tcW w:w="3458"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SNSD: BAM 7,500</w:t>
            </w:r>
            <w:r>
              <w:rPr>
                <w:sz w:val="20"/>
              </w:rPr>
              <w:br/>
              <w:t>Srđan Amidžić: BAM 3,000</w:t>
            </w:r>
            <w:r>
              <w:rPr>
                <w:sz w:val="20"/>
              </w:rPr>
              <w:br/>
              <w:t>Goran Maričić: BAM 3,000</w:t>
            </w:r>
          </w:p>
        </w:tc>
      </w:tr>
      <w:tr w:rsidR="00876E5E">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Party promotion and discrediting of opponents during a television appearance</w:t>
            </w:r>
          </w:p>
        </w:tc>
        <w:tc>
          <w:tcPr>
            <w:tcW w:w="345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SDA: BAM 4,500</w:t>
            </w:r>
          </w:p>
        </w:tc>
      </w:tr>
      <w:tr w:rsidR="00876E5E">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Promotion of PSS through a video advertisement</w:t>
            </w:r>
          </w:p>
        </w:tc>
        <w:tc>
          <w:tcPr>
            <w:tcW w:w="3458"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BAM 3,000, paid equally:</w:t>
            </w:r>
            <w:r>
              <w:rPr>
                <w:sz w:val="20"/>
              </w:rPr>
              <w:br/>
              <w:t>PDP: BAM 1,500</w:t>
            </w:r>
            <w:r>
              <w:rPr>
                <w:sz w:val="20"/>
              </w:rPr>
              <w:br/>
              <w:t>NPSP: BAM 1,500</w:t>
            </w:r>
          </w:p>
        </w:tc>
      </w:tr>
    </w:tbl>
    <w:p w:rsidR="00876E5E" w:rsidRDefault="00876E5E">
      <w:pPr>
        <w:spacing w:after="0"/>
      </w:pPr>
    </w:p>
    <w:p w:rsidR="00876E5E" w:rsidRDefault="00922F55">
      <w:r>
        <w:rPr>
          <w:lang w:val="en-GB"/>
        </w:rPr>
        <w:br w:type="page"/>
      </w:r>
    </w:p>
    <w:p w:rsidR="00876E5E" w:rsidRDefault="00922F55">
      <w:pPr>
        <w:pStyle w:val="Heading1"/>
      </w:pPr>
      <w:r>
        <w:rPr>
          <w:lang w:val="en-GB"/>
        </w:rPr>
        <w:lastRenderedPageBreak/>
        <w:t>Misuse of children for political purposes</w:t>
      </w:r>
    </w:p>
    <w:p w:rsidR="00876E5E" w:rsidRDefault="00922F55">
      <w:r>
        <w:rPr>
          <w:lang w:val="en-GB"/>
        </w:rPr>
        <w:t xml:space="preserve">The misuse of children for political purposes is one of the most sensitive, yet insufficiently sanctioned, </w:t>
      </w:r>
      <w:r>
        <w:rPr>
          <w:lang w:val="en-GB"/>
        </w:rPr>
        <w:t>electoral irregularities. Although this practice has existed for years, the 2024 amendments to the Election Law of BiH finally recognised it as a problem in the electoral process and formally defined it in law. However, the mere existence of a legal provis</w:t>
      </w:r>
      <w:r>
        <w:rPr>
          <w:lang w:val="en-GB"/>
        </w:rPr>
        <w:t>ion is clearly insufficient if its application remains inconsistent, unclear and dependent on circumstances that have no logical connection to the substance of the statutory prohibition.</w:t>
      </w:r>
    </w:p>
    <w:p w:rsidR="00876E5E" w:rsidRDefault="00922F55">
      <w:r>
        <w:rPr>
          <w:lang w:val="en-GB"/>
        </w:rPr>
        <w:t>It is concerning that the number of sanctions for this type of electo</w:t>
      </w:r>
      <w:r>
        <w:rPr>
          <w:lang w:val="en-GB"/>
        </w:rPr>
        <w:t>ral irregularity remains extremely low. Even more concerning are the inconsistencies emerging in sanctioning practices during the current electoral cycle.</w:t>
      </w:r>
    </w:p>
    <w:p w:rsidR="00876E5E" w:rsidRDefault="00922F55">
      <w:r>
        <w:rPr>
          <w:lang w:val="en-GB"/>
        </w:rPr>
        <w:t>The most frequently recorded form of misuse of children involves political entities or their supporte</w:t>
      </w:r>
      <w:r>
        <w:rPr>
          <w:lang w:val="en-GB"/>
        </w:rPr>
        <w:t>rs organising visits to families, often distributing gifts, after which children under the age of 18 are photographed or filmed and the material is published on social media and/or other online platforms. In this way, the presence of children becomes an in</w:t>
      </w:r>
      <w:r>
        <w:rPr>
          <w:lang w:val="en-GB"/>
        </w:rPr>
        <w:t>tegral part of political promotion, with the clear intention of generating a positive emotional response towards the political entity or supporter.</w:t>
      </w:r>
    </w:p>
    <w:p w:rsidR="00876E5E" w:rsidRDefault="00922F55">
      <w:r>
        <w:rPr>
          <w:lang w:val="en-GB"/>
        </w:rPr>
        <w:t>It is important to be entirely clear: the misuse of a child does not necessarily involve a child directly re</w:t>
      </w:r>
      <w:r>
        <w:rPr>
          <w:lang w:val="en-GB"/>
        </w:rPr>
        <w:t>citing a slogan or calling on citizens to vote for a particular political option. Such a superficial and narrow interpretation misses the point. A child can also be misused when their image, presence or the emotional value associated with them is deliberat</w:t>
      </w:r>
      <w:r>
        <w:rPr>
          <w:lang w:val="en-GB"/>
        </w:rPr>
        <w:t>ely exploited as an instrument of political promotion.</w:t>
      </w:r>
    </w:p>
    <w:p w:rsidR="00876E5E" w:rsidRDefault="00922F55">
      <w:r>
        <w:rPr>
          <w:lang w:val="en-GB"/>
        </w:rPr>
        <w:t>Earlier practice recognised this, at least in part. In previous electoral cycles, political entities were sanctioned for using the presence of children for political purposes, on the grounds that the c</w:t>
      </w:r>
      <w:r>
        <w:rPr>
          <w:lang w:val="en-GB"/>
        </w:rPr>
        <w:t>hildren had been used to create a positive image of the political entity and indirectly influence voters’ emotions. Some decisions explicitly stated that the Election Law of BiH had been violated and that the best interests of the child — a fundamental pri</w:t>
      </w:r>
      <w:r>
        <w:rPr>
          <w:lang w:val="en-GB"/>
        </w:rPr>
        <w:t>nciple of the Convention on the Rights of the Child and other international and domestic child-protection legislation — had not been respected. Earlier warnings by the Institution of Human Rights Ombudsman of Bosnia and Herzegovina about the need to provid</w:t>
      </w:r>
      <w:r>
        <w:rPr>
          <w:lang w:val="en-GB"/>
        </w:rPr>
        <w:t>e special protection against the misuse of children were also cited.</w:t>
      </w:r>
    </w:p>
    <w:p w:rsidR="00876E5E" w:rsidRDefault="00922F55">
      <w:r>
        <w:rPr>
          <w:lang w:val="en-GB"/>
        </w:rPr>
        <w:t xml:space="preserve">However, current practice represents a step backwards. In this electoral cycle, seemingly similar situations — family visits and the public posting of photographs and videos of children </w:t>
      </w:r>
      <w:r>
        <w:rPr>
          <w:lang w:val="en-GB"/>
        </w:rPr>
        <w:t>under the age of 18 — are, in some cases, no longer treated as misuse of children. Instead, these activities are interpreted as emphasising the importance of family and parenthood and creating better living conditions for families with children, leading to</w:t>
      </w:r>
      <w:r>
        <w:rPr>
          <w:lang w:val="en-GB"/>
        </w:rPr>
        <w:t xml:space="preserve"> the conclusion that there are no elements of a violation of the Election Law.</w:t>
      </w:r>
    </w:p>
    <w:p w:rsidR="00876E5E" w:rsidRDefault="00922F55">
      <w:r>
        <w:rPr>
          <w:lang w:val="en-GB"/>
        </w:rPr>
        <w:t>This reasoning raises an extremely serious question: at what point does political promotion become “emphasising the importance of family”, and what criterion is used to determin</w:t>
      </w:r>
      <w:r>
        <w:rPr>
          <w:lang w:val="en-GB"/>
        </w:rPr>
        <w:t>e whether a child has been used for political purposes?</w:t>
      </w:r>
    </w:p>
    <w:p w:rsidR="00876E5E" w:rsidRDefault="00922F55">
      <w:r>
        <w:rPr>
          <w:lang w:val="en-GB"/>
        </w:rPr>
        <w:t>Particularly troubling are explanations offered by some political entities that there is no violation because the presence of a child does not constitute a direct appeal for support for a political pa</w:t>
      </w:r>
      <w:r>
        <w:rPr>
          <w:lang w:val="en-GB"/>
        </w:rPr>
        <w:t>rty, or because a three- or four-year-old child cannot, in their own right, advocate voting for a particular political option. Such arguments completely miss the substance of the problem. No serious person claims that a three- or four-year-old child can co</w:t>
      </w:r>
      <w:r>
        <w:rPr>
          <w:lang w:val="en-GB"/>
        </w:rPr>
        <w:t>nduct a political campaign. On the contrary, the problem arises when adults use a child as an emotional instrument in their own political promotion.</w:t>
      </w:r>
    </w:p>
    <w:p w:rsidR="00876E5E" w:rsidRDefault="00922F55">
      <w:r>
        <w:rPr>
          <w:lang w:val="en-GB"/>
        </w:rPr>
        <w:t>So far, only two of the nine reported cases have been sanctioned. These involved children shown in a playgr</w:t>
      </w:r>
      <w:r>
        <w:rPr>
          <w:lang w:val="en-GB"/>
        </w:rPr>
        <w:t xml:space="preserve">ound and a school, where it was established that they had been used, as a vulnerable group in society, for political promotion. In reaching those decisions, the Election Law of BiH, the Convention on </w:t>
      </w:r>
      <w:r>
        <w:rPr>
          <w:lang w:val="en-GB"/>
        </w:rPr>
        <w:lastRenderedPageBreak/>
        <w:t>the Rights of the Child and other relevant international</w:t>
      </w:r>
      <w:r>
        <w:rPr>
          <w:lang w:val="en-GB"/>
        </w:rPr>
        <w:t xml:space="preserve"> and domestic legislation were again taken into account.</w:t>
      </w:r>
    </w:p>
    <w:p w:rsidR="00876E5E" w:rsidRDefault="00922F55">
      <w:r>
        <w:rPr>
          <w:lang w:val="en-GB"/>
        </w:rPr>
        <w:t>However, a fully justified question arises: under current practice, must children be in a playground or a school for their use to be recognised as misuse, while the same children in a yard, living ro</w:t>
      </w:r>
      <w:r>
        <w:rPr>
          <w:lang w:val="en-GB"/>
        </w:rPr>
        <w:t>om or family home cease to be protected merely because the filming location has changed?</w:t>
      </w:r>
    </w:p>
    <w:p w:rsidR="00876E5E" w:rsidRDefault="00922F55">
      <w:r>
        <w:rPr>
          <w:lang w:val="en-GB"/>
        </w:rPr>
        <w:t>The assessment of the “Pod lupom” Coalition is clear: inconsistent sanctioning practices create a serious legal vacuum and leave political entities room to misuse chil</w:t>
      </w:r>
      <w:r>
        <w:rPr>
          <w:lang w:val="en-GB"/>
        </w:rPr>
        <w:t>dren under various pretexts. If the same conduct constitutes prohibited political promotion in one case and “promotion of family values” in another, there is every right to demand a clear, consistent and reasoned explanation of that distinction.</w:t>
      </w:r>
    </w:p>
    <w:p w:rsidR="00876E5E" w:rsidRDefault="00922F55">
      <w:r>
        <w:rPr>
          <w:lang w:val="en-GB"/>
        </w:rPr>
        <w:t>Children a</w:t>
      </w:r>
      <w:r>
        <w:rPr>
          <w:lang w:val="en-GB"/>
        </w:rPr>
        <w:t>re not political props. They are not tools for winning sympathy. They are not a means of creating a warmer, more positive image of a candidate or political party. The “Pod lupom” Coalition therefore expects the legal provisions protecting children from pol</w:t>
      </w:r>
      <w:r>
        <w:rPr>
          <w:lang w:val="en-GB"/>
        </w:rPr>
        <w:t>itical misuse to be applied consistently, on principle and in accordance with their actual purpose. Every decision must start from the best interests of the child rather than formalistic questions.</w:t>
      </w:r>
    </w:p>
    <w:p w:rsidR="00876E5E" w:rsidRDefault="00922F55">
      <w:r>
        <w:rPr>
          <w:lang w:val="en-GB"/>
        </w:rPr>
        <w:t>If this practice continues, there is a risk that legal pro</w:t>
      </w:r>
      <w:r>
        <w:rPr>
          <w:lang w:val="en-GB"/>
        </w:rPr>
        <w:t>tection for children will remain merely declaratory, while political entities continue finding new ways to use children in campaigns without consequences.</w:t>
      </w:r>
    </w:p>
    <w:p w:rsidR="00876E5E" w:rsidRDefault="00922F55">
      <w:r>
        <w:rPr>
          <w:lang w:val="en-GB"/>
        </w:rPr>
        <w:br w:type="page"/>
      </w:r>
    </w:p>
    <w:p w:rsidR="00876E5E" w:rsidRDefault="00922F55">
      <w:pPr>
        <w:pStyle w:val="Heading2"/>
      </w:pPr>
      <w:r>
        <w:rPr>
          <w:lang w:val="en-GB"/>
        </w:rPr>
        <w:lastRenderedPageBreak/>
        <w:t>Inconsistent sanctions for the misuse of children for political purposes</w:t>
      </w:r>
    </w:p>
    <w:p w:rsidR="00876E5E" w:rsidRDefault="00922F55">
      <w:pPr>
        <w:jc w:val="center"/>
      </w:pPr>
      <w:r>
        <w:rPr>
          <w:noProof/>
        </w:rPr>
        <w:drawing>
          <wp:inline distT="0" distB="0" distL="0" distR="0">
            <wp:extent cx="1512000" cy="1548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8_0.png"/>
                    <pic:cNvPicPr/>
                  </pic:nvPicPr>
                  <pic:blipFill>
                    <a:blip r:embed="rId15"/>
                    <a:stretch>
                      <a:fillRect/>
                    </a:stretch>
                  </pic:blipFill>
                  <pic:spPr>
                    <a:xfrm>
                      <a:off x="0" y="0"/>
                      <a:ext cx="1512000" cy="1548000"/>
                    </a:xfrm>
                    <a:prstGeom prst="rect">
                      <a:avLst/>
                    </a:prstGeom>
                  </pic:spPr>
                </pic:pic>
              </a:graphicData>
            </a:graphic>
          </wp:inline>
        </w:drawing>
      </w:r>
      <w:r>
        <w:rPr>
          <w:lang w:val="en-GB"/>
        </w:rPr>
        <w:t xml:space="preserve">  </w:t>
      </w:r>
      <w:r>
        <w:rPr>
          <w:noProof/>
        </w:rPr>
        <w:drawing>
          <wp:inline distT="0" distB="0" distL="0" distR="0">
            <wp:extent cx="1512000" cy="1625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8_1.png"/>
                    <pic:cNvPicPr/>
                  </pic:nvPicPr>
                  <pic:blipFill>
                    <a:blip r:embed="rId16"/>
                    <a:stretch>
                      <a:fillRect/>
                    </a:stretch>
                  </pic:blipFill>
                  <pic:spPr>
                    <a:xfrm>
                      <a:off x="0" y="0"/>
                      <a:ext cx="1512000" cy="1625400"/>
                    </a:xfrm>
                    <a:prstGeom prst="rect">
                      <a:avLst/>
                    </a:prstGeom>
                  </pic:spPr>
                </pic:pic>
              </a:graphicData>
            </a:graphic>
          </wp:inline>
        </w:drawing>
      </w:r>
      <w:r>
        <w:rPr>
          <w:lang w:val="en-GB"/>
        </w:rPr>
        <w:t xml:space="preserve">  </w:t>
      </w:r>
      <w:r>
        <w:rPr>
          <w:noProof/>
        </w:rPr>
        <w:drawing>
          <wp:inline distT="0" distB="0" distL="0" distR="0">
            <wp:extent cx="1512000" cy="1512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8_2.png"/>
                    <pic:cNvPicPr/>
                  </pic:nvPicPr>
                  <pic:blipFill>
                    <a:blip r:embed="rId17"/>
                    <a:stretch>
                      <a:fillRect/>
                    </a:stretch>
                  </pic:blipFill>
                  <pic:spPr>
                    <a:xfrm>
                      <a:off x="0" y="0"/>
                      <a:ext cx="1512000" cy="1512000"/>
                    </a:xfrm>
                    <a:prstGeom prst="rect">
                      <a:avLst/>
                    </a:prstGeom>
                  </pic:spPr>
                </pic:pic>
              </a:graphicData>
            </a:graphic>
          </wp:inline>
        </w:drawing>
      </w:r>
      <w:r>
        <w:rPr>
          <w:lang w:val="en-GB"/>
        </w:rPr>
        <w:t xml:space="preserve">  </w:t>
      </w:r>
    </w:p>
    <w:tbl>
      <w:tblPr>
        <w:tblW w:w="0" w:type="auto"/>
        <w:tblLayout w:type="fixed"/>
        <w:tblLook w:val="04A0" w:firstRow="1" w:lastRow="0" w:firstColumn="1" w:lastColumn="0" w:noHBand="0" w:noVBand="1"/>
      </w:tblPr>
      <w:tblGrid>
        <w:gridCol w:w="4706"/>
        <w:gridCol w:w="4706"/>
      </w:tblGrid>
      <w:tr w:rsidR="00876E5E">
        <w:trPr>
          <w:cantSplit/>
          <w:tblHeader/>
        </w:trPr>
        <w:tc>
          <w:tcPr>
            <w:tcW w:w="4706"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Situation</w:t>
            </w:r>
          </w:p>
        </w:tc>
        <w:tc>
          <w:tcPr>
            <w:tcW w:w="4706"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Treatm</w:t>
            </w:r>
            <w:r>
              <w:rPr>
                <w:b/>
                <w:color w:val="FFFFFF"/>
                <w:sz w:val="20"/>
              </w:rPr>
              <w:t>ent and sanction</w:t>
            </w:r>
          </w:p>
        </w:tc>
      </w:tr>
      <w:tr w:rsidR="00876E5E">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Family visits, gift distribution and publication of photographs of children — 2025</w:t>
            </w:r>
          </w:p>
        </w:tc>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 xml:space="preserve">Recognised as misuse: children used to create a positive image and indirectly influence voters’ emotions. Sanctions: BAM 6,500 for the party and BAM 4,500 </w:t>
            </w:r>
            <w:r>
              <w:rPr>
                <w:sz w:val="20"/>
              </w:rPr>
              <w:t>for the candidate.</w:t>
            </w:r>
          </w:p>
        </w:tc>
      </w:tr>
      <w:tr w:rsidR="00876E5E">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Family visits, gift distribution and publication of photographs of children — 2026</w:t>
            </w:r>
          </w:p>
        </w:tc>
        <w:tc>
          <w:tcPr>
            <w:tcW w:w="470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 xml:space="preserve">Not recognised as misuse: treated as emphasising the importance of family and parenthood and improving living conditions for families with children. No </w:t>
            </w:r>
            <w:r>
              <w:rPr>
                <w:sz w:val="20"/>
              </w:rPr>
              <w:t>sanction imposed.</w:t>
            </w:r>
          </w:p>
        </w:tc>
      </w:tr>
      <w:tr w:rsidR="00876E5E">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Children photographed in a playground for political promotion — 2026</w:t>
            </w:r>
          </w:p>
        </w:tc>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Recognised as misuse. Sanction: BAM 6,500 for the party.</w:t>
            </w:r>
          </w:p>
        </w:tc>
      </w:tr>
      <w:tr w:rsidR="00876E5E">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Children photographed at a school for political promotion — 2026</w:t>
            </w:r>
          </w:p>
        </w:tc>
        <w:tc>
          <w:tcPr>
            <w:tcW w:w="470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Recognised as misuse. Sanction: BAM 6,000 for</w:t>
            </w:r>
            <w:r>
              <w:rPr>
                <w:sz w:val="20"/>
              </w:rPr>
              <w:t xml:space="preserve"> the party.</w:t>
            </w:r>
          </w:p>
        </w:tc>
      </w:tr>
    </w:tbl>
    <w:p w:rsidR="00876E5E" w:rsidRDefault="00876E5E">
      <w:pPr>
        <w:spacing w:after="0"/>
      </w:pPr>
    </w:p>
    <w:p w:rsidR="00876E5E" w:rsidRDefault="00922F55">
      <w:pPr>
        <w:jc w:val="center"/>
      </w:pPr>
      <w:r>
        <w:rPr>
          <w:noProof/>
        </w:rPr>
        <w:drawing>
          <wp:inline distT="0" distB="0" distL="0" distR="0">
            <wp:extent cx="1512000" cy="154716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9_0.png"/>
                    <pic:cNvPicPr/>
                  </pic:nvPicPr>
                  <pic:blipFill>
                    <a:blip r:embed="rId18"/>
                    <a:stretch>
                      <a:fillRect/>
                    </a:stretch>
                  </pic:blipFill>
                  <pic:spPr>
                    <a:xfrm>
                      <a:off x="0" y="0"/>
                      <a:ext cx="1512000" cy="1547163"/>
                    </a:xfrm>
                    <a:prstGeom prst="rect">
                      <a:avLst/>
                    </a:prstGeom>
                  </pic:spPr>
                </pic:pic>
              </a:graphicData>
            </a:graphic>
          </wp:inline>
        </w:drawing>
      </w:r>
      <w:r>
        <w:t xml:space="preserve">  </w:t>
      </w:r>
      <w:r>
        <w:rPr>
          <w:noProof/>
        </w:rPr>
        <w:drawing>
          <wp:inline distT="0" distB="0" distL="0" distR="0">
            <wp:extent cx="1512000" cy="154716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9_1.png"/>
                    <pic:cNvPicPr/>
                  </pic:nvPicPr>
                  <pic:blipFill>
                    <a:blip r:embed="rId19"/>
                    <a:stretch>
                      <a:fillRect/>
                    </a:stretch>
                  </pic:blipFill>
                  <pic:spPr>
                    <a:xfrm>
                      <a:off x="0" y="0"/>
                      <a:ext cx="1512000" cy="1547163"/>
                    </a:xfrm>
                    <a:prstGeom prst="rect">
                      <a:avLst/>
                    </a:prstGeom>
                  </pic:spPr>
                </pic:pic>
              </a:graphicData>
            </a:graphic>
          </wp:inline>
        </w:drawing>
      </w:r>
      <w:r>
        <w:t xml:space="preserve">  </w:t>
      </w:r>
    </w:p>
    <w:p w:rsidR="00876E5E" w:rsidRDefault="00922F55">
      <w:r>
        <w:rPr>
          <w:lang w:val="en-GB"/>
        </w:rPr>
        <w:t xml:space="preserve">Under current practice, children must be in a playground or a school for their use to be recognised as misuse, while the same children in a yard, living room or family home cease to be protected merely because the filming location has </w:t>
      </w:r>
      <w:r>
        <w:rPr>
          <w:lang w:val="en-GB"/>
        </w:rPr>
        <w:t>changed and the activity is then described as promoting family values.</w:t>
      </w:r>
    </w:p>
    <w:p w:rsidR="00876E5E" w:rsidRDefault="00922F55">
      <w:r>
        <w:rPr>
          <w:lang w:val="en-GB"/>
        </w:rPr>
        <w:br w:type="page"/>
      </w:r>
    </w:p>
    <w:p w:rsidR="00876E5E" w:rsidRDefault="00922F55">
      <w:pPr>
        <w:pStyle w:val="Heading1"/>
      </w:pPr>
      <w:r>
        <w:rPr>
          <w:lang w:val="en-GB"/>
        </w:rPr>
        <w:lastRenderedPageBreak/>
        <w:t>Misuse of public funds and resources</w:t>
      </w:r>
    </w:p>
    <w:p w:rsidR="00876E5E" w:rsidRDefault="00922F55">
      <w:r>
        <w:rPr>
          <w:lang w:val="en-GB"/>
        </w:rPr>
        <w:t xml:space="preserve">Although electoral legislation in BiH has been improved and the misuse of public funds has finally been defined more clearly, sanctions have so </w:t>
      </w:r>
      <w:r>
        <w:rPr>
          <w:lang w:val="en-GB"/>
        </w:rPr>
        <w:t>far been absent. Analysis of the cases reported to date indicates legal gaps and inconsistent sanctioning practices between electoral cycles, allowing certain conduct to remain unsanctioned despite bearing the characteristics of misuse of public resources.</w:t>
      </w:r>
    </w:p>
    <w:p w:rsidR="00876E5E" w:rsidRDefault="00922F55">
      <w:r>
        <w:rPr>
          <w:lang w:val="en-GB"/>
        </w:rPr>
        <w:t>So far, four submissions have been rejected and four are currently under consideration, while the “Pod lupom” Coalition’s legal team is processing additional cases. Particularly problematic is that, in some rejected cases, the fact that the political acto</w:t>
      </w:r>
      <w:r>
        <w:rPr>
          <w:lang w:val="en-GB"/>
        </w:rPr>
        <w:t>rs had not yet been certified to participate in the elections at the time of the contested conduct is treated as an obstacle. This is especially evident at public events — namely playground openings, infrastructure projects, ceremonial events and donations</w:t>
      </w:r>
      <w:r>
        <w:rPr>
          <w:lang w:val="en-GB"/>
        </w:rPr>
        <w:t xml:space="preserve"> to schools — attended by politicians or their supporters, even though the events were funded or organised by public institutions or public enterprises.</w:t>
      </w:r>
    </w:p>
    <w:p w:rsidR="00876E5E" w:rsidRDefault="00922F55">
      <w:r>
        <w:rPr>
          <w:lang w:val="en-GB"/>
        </w:rPr>
        <w:t>This practice creates a grey area between the start of political promotion and formal candidate certifi</w:t>
      </w:r>
      <w:r>
        <w:rPr>
          <w:lang w:val="en-GB"/>
        </w:rPr>
        <w:t>cation. The Election Law of BiH prohibits the promotion of political entities or candidates at public events funded by public institutions or public enterprises. However, if a political actor is not formally considered a candidate or political entity under</w:t>
      </w:r>
      <w:r>
        <w:rPr>
          <w:lang w:val="en-GB"/>
        </w:rPr>
        <w:t xml:space="preserve"> the relevant provisions at the time of the event, substantive political promotion may fall outside the reach of sanctions because of the actor’s formal status.</w:t>
      </w:r>
    </w:p>
    <w:p w:rsidR="00876E5E" w:rsidRDefault="00922F55">
      <w:r>
        <w:rPr>
          <w:lang w:val="en-GB"/>
        </w:rPr>
        <w:t>Inconsistency with earlier practice is a further concern. In the previous electoral cycle, ther</w:t>
      </w:r>
      <w:r>
        <w:rPr>
          <w:lang w:val="en-GB"/>
        </w:rPr>
        <w:t>e were cases in which presenting the achievements of government as the success of a political party was sanctioned. In the current cycle, similar conduct has not resulted in sanctions. It is particularly problematic when a party presents officeholders’ act</w:t>
      </w:r>
      <w:r>
        <w:rPr>
          <w:lang w:val="en-GB"/>
        </w:rPr>
        <w:t>ivities on its social media accounts as party achievements. Using public projects and government achievements as political capital during a campaign constitutes the indirect buying of voter support, yet no sanctions have been imposed in this electoral cycl</w:t>
      </w:r>
      <w:r>
        <w:rPr>
          <w:lang w:val="en-GB"/>
        </w:rPr>
        <w:t>e.</w:t>
      </w:r>
    </w:p>
    <w:p w:rsidR="00876E5E" w:rsidRDefault="00922F55">
      <w:r>
        <w:rPr>
          <w:lang w:val="en-GB"/>
        </w:rPr>
        <w:t>A further limitation is that only persons holding an executive office or mandate can be sanctioned for certain forms of misuse. This creates a gap between the statutory definition and the actual actors engaged in political promotion, and no sanction was</w:t>
      </w:r>
      <w:r>
        <w:rPr>
          <w:lang w:val="en-GB"/>
        </w:rPr>
        <w:t xml:space="preserve"> imposed for a reported case of this kind either.</w:t>
      </w:r>
    </w:p>
    <w:p w:rsidR="00876E5E" w:rsidRDefault="00922F55">
      <w:r>
        <w:rPr>
          <w:lang w:val="en-GB"/>
        </w:rPr>
        <w:t>The four proceedings currently under way include, among other matters, the provision of one-off financial assistance to citizens, the presentation of infrastructure projects as party achievements, and the u</w:t>
      </w:r>
      <w:r>
        <w:rPr>
          <w:lang w:val="en-GB"/>
        </w:rPr>
        <w:t>se of government premises for party activities.</w:t>
      </w:r>
    </w:p>
    <w:p w:rsidR="00876E5E" w:rsidRDefault="00922F55">
      <w:pPr>
        <w:pStyle w:val="Heading2"/>
      </w:pPr>
      <w:r>
        <w:rPr>
          <w:lang w:val="en-GB"/>
        </w:rPr>
        <w:t>Examples of misuse of public funds and resources that were not sanctioned</w:t>
      </w:r>
    </w:p>
    <w:p w:rsidR="00876E5E" w:rsidRDefault="00922F55">
      <w:pPr>
        <w:jc w:val="center"/>
      </w:pPr>
      <w:r>
        <w:rPr>
          <w:noProof/>
        </w:rPr>
        <w:drawing>
          <wp:inline distT="0" distB="0" distL="0" distR="0">
            <wp:extent cx="1620000" cy="16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10_0.png"/>
                    <pic:cNvPicPr/>
                  </pic:nvPicPr>
                  <pic:blipFill>
                    <a:blip r:embed="rId20"/>
                    <a:stretch>
                      <a:fillRect/>
                    </a:stretch>
                  </pic:blipFill>
                  <pic:spPr>
                    <a:xfrm>
                      <a:off x="0" y="0"/>
                      <a:ext cx="1620000" cy="1620000"/>
                    </a:xfrm>
                    <a:prstGeom prst="rect">
                      <a:avLst/>
                    </a:prstGeom>
                  </pic:spPr>
                </pic:pic>
              </a:graphicData>
            </a:graphic>
          </wp:inline>
        </w:drawing>
      </w:r>
      <w:r>
        <w:rPr>
          <w:lang w:val="en-GB"/>
        </w:rPr>
        <w:t xml:space="preserve">  </w:t>
      </w:r>
      <w:r>
        <w:rPr>
          <w:noProof/>
        </w:rPr>
        <w:drawing>
          <wp:inline distT="0" distB="0" distL="0" distR="0">
            <wp:extent cx="1620000" cy="16474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10_1.png"/>
                    <pic:cNvPicPr/>
                  </pic:nvPicPr>
                  <pic:blipFill>
                    <a:blip r:embed="rId21"/>
                    <a:stretch>
                      <a:fillRect/>
                    </a:stretch>
                  </pic:blipFill>
                  <pic:spPr>
                    <a:xfrm>
                      <a:off x="0" y="0"/>
                      <a:ext cx="1620000" cy="1647457"/>
                    </a:xfrm>
                    <a:prstGeom prst="rect">
                      <a:avLst/>
                    </a:prstGeom>
                  </pic:spPr>
                </pic:pic>
              </a:graphicData>
            </a:graphic>
          </wp:inline>
        </w:drawing>
      </w:r>
      <w:r>
        <w:rPr>
          <w:lang w:val="en-GB"/>
        </w:rPr>
        <w:t xml:space="preserve">  </w:t>
      </w:r>
    </w:p>
    <w:p w:rsidR="00876E5E" w:rsidRDefault="00922F55">
      <w:r>
        <w:rPr>
          <w:lang w:val="en-GB"/>
        </w:rPr>
        <w:t>Laying the foundation stone for the Brčko–Bijeljina motorway. Among those attending the ceremony was Milorad Dodik, President o</w:t>
      </w:r>
      <w:r>
        <w:rPr>
          <w:lang w:val="en-GB"/>
        </w:rPr>
        <w:t>f SNSD. No sanction imposed.</w:t>
      </w:r>
    </w:p>
    <w:p w:rsidR="00876E5E" w:rsidRDefault="00922F55">
      <w:r>
        <w:rPr>
          <w:lang w:val="en-GB"/>
        </w:rPr>
        <w:t>Promotion of a donation of IT equipment to schools in Modriča and Brod. No sanction imposed.</w:t>
      </w:r>
    </w:p>
    <w:p w:rsidR="00876E5E" w:rsidRDefault="00922F55">
      <w:r>
        <w:rPr>
          <w:lang w:val="en-GB"/>
        </w:rPr>
        <w:br w:type="page"/>
      </w:r>
    </w:p>
    <w:p w:rsidR="00876E5E" w:rsidRDefault="00922F55">
      <w:pPr>
        <w:pStyle w:val="Heading1"/>
      </w:pPr>
      <w:r>
        <w:rPr>
          <w:lang w:val="en-GB"/>
        </w:rPr>
        <w:lastRenderedPageBreak/>
        <w:t>Protection of electoral rights</w:t>
      </w:r>
    </w:p>
    <w:p w:rsidR="00876E5E" w:rsidRDefault="00922F55">
      <w:r>
        <w:rPr>
          <w:lang w:val="en-GB"/>
        </w:rPr>
        <w:t>So far, the “Pod lupom” Coalition has processed 118 electoral irregularities and submitted 101 reques</w:t>
      </w:r>
      <w:r>
        <w:rPr>
          <w:lang w:val="en-GB"/>
        </w:rPr>
        <w:t>ts for action to the Central Election Commission of BiH. Based on the Coalition’s submissions, the CEC BiH has so far imposed 17 sanctions on political parties and candidates, totalling BAM 87,500.</w:t>
      </w:r>
    </w:p>
    <w:p w:rsidR="00876E5E" w:rsidRDefault="00922F55">
      <w:r>
        <w:rPr>
          <w:lang w:val="en-GB"/>
        </w:rPr>
        <w:t>Unfortunately, most of our submissions are still under con</w:t>
      </w:r>
      <w:r>
        <w:rPr>
          <w:lang w:val="en-GB"/>
        </w:rPr>
        <w:t>sideration (54.5%) or have been rejected (29.7%). Sanctions have been imposed in 12.9% of cases, while proceedings have been discontinued in 3%.</w:t>
      </w:r>
    </w:p>
    <w:tbl>
      <w:tblPr>
        <w:tblW w:w="0" w:type="auto"/>
        <w:tblLayout w:type="fixed"/>
        <w:tblLook w:val="04A0" w:firstRow="1" w:lastRow="0" w:firstColumn="1" w:lastColumn="0" w:noHBand="0" w:noVBand="1"/>
      </w:tblPr>
      <w:tblGrid>
        <w:gridCol w:w="6860"/>
        <w:gridCol w:w="2551"/>
      </w:tblGrid>
      <w:tr w:rsidR="00876E5E">
        <w:trPr>
          <w:cantSplit/>
          <w:tblHeader/>
        </w:trPr>
        <w:tc>
          <w:tcPr>
            <w:tcW w:w="6860"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Sanctions for electoral irregularities</w:t>
            </w:r>
          </w:p>
        </w:tc>
        <w:tc>
          <w:tcPr>
            <w:tcW w:w="255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Total</w:t>
            </w:r>
          </w:p>
        </w:tc>
      </w:tr>
      <w:tr w:rsidR="00876E5E">
        <w:trPr>
          <w:cantSplit/>
        </w:trPr>
        <w:tc>
          <w:tcPr>
            <w:tcW w:w="686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Submissions requesting action</w:t>
            </w:r>
          </w:p>
        </w:tc>
        <w:tc>
          <w:tcPr>
            <w:tcW w:w="255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101</w:t>
            </w:r>
          </w:p>
        </w:tc>
      </w:tr>
      <w:tr w:rsidR="00876E5E">
        <w:trPr>
          <w:cantSplit/>
        </w:trPr>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 xml:space="preserve">Reported electoral </w:t>
            </w:r>
            <w:r>
              <w:rPr>
                <w:sz w:val="20"/>
              </w:rPr>
              <w:t>irregularities</w:t>
            </w:r>
          </w:p>
        </w:tc>
        <w:tc>
          <w:tcPr>
            <w:tcW w:w="255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118</w:t>
            </w:r>
          </w:p>
        </w:tc>
      </w:tr>
      <w:tr w:rsidR="00876E5E">
        <w:trPr>
          <w:cantSplit/>
        </w:trPr>
        <w:tc>
          <w:tcPr>
            <w:tcW w:w="686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Sanctions imposed</w:t>
            </w:r>
          </w:p>
        </w:tc>
        <w:tc>
          <w:tcPr>
            <w:tcW w:w="255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BAM 87,500</w:t>
            </w:r>
          </w:p>
        </w:tc>
      </w:tr>
    </w:tbl>
    <w:p w:rsidR="00876E5E" w:rsidRDefault="00876E5E">
      <w:pPr>
        <w:spacing w:after="0"/>
      </w:pPr>
    </w:p>
    <w:tbl>
      <w:tblPr>
        <w:tblW w:w="0" w:type="auto"/>
        <w:tblLayout w:type="fixed"/>
        <w:tblLook w:val="04A0" w:firstRow="1" w:lastRow="0" w:firstColumn="1" w:lastColumn="0" w:noHBand="0" w:noVBand="1"/>
      </w:tblPr>
      <w:tblGrid>
        <w:gridCol w:w="6690"/>
        <w:gridCol w:w="1361"/>
        <w:gridCol w:w="1361"/>
      </w:tblGrid>
      <w:tr w:rsidR="00876E5E">
        <w:trPr>
          <w:cantSplit/>
          <w:tblHeader/>
        </w:trPr>
        <w:tc>
          <w:tcPr>
            <w:tcW w:w="6690"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Action taken on the Coalition’s submissions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Cases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Share</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Rejected submissions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30</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29.70%</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Under consideration</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55</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54.46%</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Sanction imposed</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13</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12.87%</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Proceedings discontinued</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3</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2.97%</w:t>
            </w:r>
          </w:p>
        </w:tc>
      </w:tr>
      <w:tr w:rsidR="00876E5E">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Total</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101</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100%</w:t>
            </w:r>
          </w:p>
        </w:tc>
      </w:tr>
    </w:tbl>
    <w:p w:rsidR="00876E5E" w:rsidRDefault="00876E5E">
      <w:pPr>
        <w:spacing w:after="0"/>
      </w:pPr>
    </w:p>
    <w:p w:rsidR="00876E5E" w:rsidRDefault="00922F55">
      <w:r>
        <w:rPr>
          <w:lang w:val="en-GB"/>
        </w:rPr>
        <w:br w:type="page"/>
      </w:r>
    </w:p>
    <w:p w:rsidR="00876E5E" w:rsidRDefault="00922F55">
      <w:pPr>
        <w:pStyle w:val="Heading1"/>
      </w:pPr>
      <w:r>
        <w:rPr>
          <w:lang w:val="en-GB"/>
        </w:rPr>
        <w:lastRenderedPageBreak/>
        <w:t>Work</w:t>
      </w:r>
      <w:r>
        <w:rPr>
          <w:lang w:val="en-GB"/>
        </w:rPr>
        <w:t xml:space="preserve"> of local election commissions</w:t>
      </w:r>
    </w:p>
    <w:p w:rsidR="00876E5E" w:rsidRDefault="00922F55">
      <w:r>
        <w:rPr>
          <w:lang w:val="en-GB"/>
        </w:rPr>
        <w:t>In the first week of the observation mission, which began on 27 July 2026, the “Pod lupom” Coalition also monitored the work of local election commissions. The data below relate exclusively to observation findings from that f</w:t>
      </w:r>
      <w:r>
        <w:rPr>
          <w:lang w:val="en-GB"/>
        </w:rPr>
        <w:t>irst week, up to and including 31 July 2026.</w:t>
      </w:r>
    </w:p>
    <w:p w:rsidR="00876E5E" w:rsidRDefault="00922F55">
      <w:pPr>
        <w:pStyle w:val="Heading2"/>
      </w:pPr>
      <w:r>
        <w:rPr>
          <w:lang w:val="en-GB"/>
        </w:rPr>
        <w:t>Recorded concerns or complaints about whether the Central Voter Register and its extracts are up to date</w:t>
      </w:r>
    </w:p>
    <w:p w:rsidR="00876E5E" w:rsidRDefault="00922F55">
      <w:r>
        <w:rPr>
          <w:lang w:val="en-GB"/>
        </w:rPr>
        <w:t>Bihać, Bosanski Petrovac, Bužim, Ključ, Sanski Most, Velika Kladuša, Vlasenica</w:t>
      </w:r>
    </w:p>
    <w:p w:rsidR="00876E5E" w:rsidRDefault="00922F55">
      <w:pPr>
        <w:pStyle w:val="Heading2"/>
      </w:pPr>
      <w:r>
        <w:rPr>
          <w:lang w:val="en-GB"/>
        </w:rPr>
        <w:t>Recorded challenges in impl</w:t>
      </w:r>
      <w:r>
        <w:rPr>
          <w:lang w:val="en-GB"/>
        </w:rPr>
        <w:t>ementing new election technologies</w:t>
      </w:r>
    </w:p>
    <w:p w:rsidR="00876E5E" w:rsidRDefault="00922F55">
      <w:r>
        <w:rPr>
          <w:lang w:val="en-GB"/>
        </w:rPr>
        <w:t>Doboj Jug, Maglaj, Novo Goražde, Tešanj, Usora, Vareš, Visoko, Zavidovići, Zenica</w:t>
      </w:r>
    </w:p>
    <w:p w:rsidR="00876E5E" w:rsidRDefault="00922F55">
      <w:pPr>
        <w:pStyle w:val="Heading2"/>
      </w:pPr>
      <w:r>
        <w:rPr>
          <w:lang w:val="en-GB"/>
        </w:rPr>
        <w:t>The local election commission has vacancies</w:t>
      </w:r>
    </w:p>
    <w:p w:rsidR="00876E5E" w:rsidRDefault="00922F55">
      <w:r>
        <w:rPr>
          <w:lang w:val="en-GB"/>
        </w:rPr>
        <w:t>Novo Sarajevo, Oštra Luka</w:t>
      </w:r>
    </w:p>
    <w:p w:rsidR="00876E5E" w:rsidRDefault="00922F55">
      <w:pPr>
        <w:pStyle w:val="Heading2"/>
      </w:pPr>
      <w:r>
        <w:rPr>
          <w:lang w:val="en-GB"/>
        </w:rPr>
        <w:t>Each sex is not represented by at least 40% of local election commiss</w:t>
      </w:r>
      <w:r>
        <w:rPr>
          <w:lang w:val="en-GB"/>
        </w:rPr>
        <w:t>ion members (at least 1 of 3, 2 of 5, or 3 of 7 members must be of the other sex).</w:t>
      </w:r>
    </w:p>
    <w:p w:rsidR="00876E5E" w:rsidRDefault="00922F55">
      <w:r>
        <w:rPr>
          <w:lang w:val="en-GB"/>
        </w:rPr>
        <w:t>Banja Luka, Brod, Centar Sarajevo, Drvar, Fojnica, Kalinovik, Kupres (FBiH), Novi Grad Sarajevo, Oštra Luka, Srbac, Vogošća</w:t>
      </w:r>
    </w:p>
    <w:p w:rsidR="00876E5E" w:rsidRDefault="00922F55">
      <w:pPr>
        <w:pStyle w:val="Heading2"/>
      </w:pPr>
      <w:r>
        <w:rPr>
          <w:lang w:val="en-GB"/>
        </w:rPr>
        <w:t>The local election commission has no secretary.</w:t>
      </w:r>
    </w:p>
    <w:p w:rsidR="00876E5E" w:rsidRDefault="00922F55">
      <w:r>
        <w:rPr>
          <w:lang w:val="en-GB"/>
        </w:rPr>
        <w:t>B</w:t>
      </w:r>
      <w:r>
        <w:rPr>
          <w:lang w:val="en-GB"/>
        </w:rPr>
        <w:t>erkovići, Bijeljina, Bileća, Bosanska Krupa, Bosansko Grahovo, Brod, Cazin, Čitluk, Dobretići, Donji Vakuf, Fojnica, Gacko, Glamoč, Han Pijesak, Istočni Mostar, Istočni Stari Grad, Istočno Novo Sarajevo, Jajce, Kalinovik, Kiseljak, Kostajnica, Krupa na Uni</w:t>
      </w:r>
      <w:r>
        <w:rPr>
          <w:lang w:val="en-GB"/>
        </w:rPr>
        <w:t xml:space="preserve">, Kupres (FBiH), Kupres (RS), Livno, Ljubinje, Milići, Neum, Nevesinje, Novi Travnik, Novo Goražde, Osmaci, Oštra Luka, Pale (FBiH), Prijedor, Prozor-Rama, Rogatica, Sanski Most, Šekovići, Sokolac, Srbac, Srebrenica, Tomislavgrad, Trebinje, Trnovo (FBiH), </w:t>
      </w:r>
      <w:r>
        <w:rPr>
          <w:lang w:val="en-GB"/>
        </w:rPr>
        <w:t>Trnovo (RS), Ugljevik, Usora, Višegrad, Vitez, Vogošća</w:t>
      </w:r>
    </w:p>
    <w:p w:rsidR="00876E5E" w:rsidRDefault="00922F55">
      <w:pPr>
        <w:pStyle w:val="Heading2"/>
      </w:pPr>
      <w:r>
        <w:rPr>
          <w:lang w:val="en-GB"/>
        </w:rPr>
        <w:t>The local election commission does not operate in adequate working conditions (suitable premises, funding, equipment, etc.).</w:t>
      </w:r>
    </w:p>
    <w:p w:rsidR="00876E5E" w:rsidRDefault="00922F55">
      <w:r>
        <w:rPr>
          <w:lang w:val="en-GB"/>
        </w:rPr>
        <w:t>Bijeljina, Bosansko Grahovo, Brčko distrikt BiH, Centar Sarajevo, Gacko, Klj</w:t>
      </w:r>
      <w:r>
        <w:rPr>
          <w:lang w:val="en-GB"/>
        </w:rPr>
        <w:t>uč, Kozarska Dubica, Kupres (RS), Novi Travnik, Prozor-Rama, Sanski Most, Ugljevik, Vitez, Vlasenica</w:t>
      </w:r>
    </w:p>
    <w:p w:rsidR="00876E5E" w:rsidRDefault="00922F55">
      <w:pPr>
        <w:pStyle w:val="Heading2"/>
      </w:pPr>
      <w:r>
        <w:rPr>
          <w:lang w:val="en-GB"/>
        </w:rPr>
        <w:t>The local election commission has not adopted its Rules of Procedure.</w:t>
      </w:r>
    </w:p>
    <w:p w:rsidR="00876E5E" w:rsidRDefault="00922F55">
      <w:r>
        <w:rPr>
          <w:lang w:val="en-GB"/>
        </w:rPr>
        <w:t>Milići</w:t>
      </w:r>
    </w:p>
    <w:p w:rsidR="00876E5E" w:rsidRDefault="00922F55">
      <w:pPr>
        <w:pStyle w:val="Heading2"/>
      </w:pPr>
      <w:r>
        <w:rPr>
          <w:lang w:val="en-GB"/>
        </w:rPr>
        <w:t>The voter registration centre is not accessible to citizens.</w:t>
      </w:r>
    </w:p>
    <w:p w:rsidR="00876E5E" w:rsidRDefault="00922F55">
      <w:r>
        <w:rPr>
          <w:lang w:val="en-GB"/>
        </w:rPr>
        <w:t>Prozor-Rama</w:t>
      </w:r>
    </w:p>
    <w:p w:rsidR="00876E5E" w:rsidRDefault="00922F55">
      <w:r>
        <w:rPr>
          <w:lang w:val="en-GB"/>
        </w:rPr>
        <w:br w:type="page"/>
      </w:r>
    </w:p>
    <w:p w:rsidR="00876E5E" w:rsidRDefault="00922F55">
      <w:pPr>
        <w:pStyle w:val="Heading1"/>
      </w:pPr>
      <w:r>
        <w:rPr>
          <w:lang w:val="en-GB"/>
        </w:rPr>
        <w:lastRenderedPageBreak/>
        <w:t>Basic information on the 2026 General Elections in Bosnia and Herzegovina</w:t>
      </w:r>
    </w:p>
    <w:p w:rsidR="00876E5E" w:rsidRDefault="00922F55">
      <w:pPr>
        <w:pStyle w:val="Heading2"/>
      </w:pPr>
      <w:r>
        <w:rPr>
          <w:lang w:val="en-GB"/>
        </w:rPr>
        <w:t>How often are General Elections held in BiH?</w:t>
      </w:r>
    </w:p>
    <w:p w:rsidR="00876E5E" w:rsidRDefault="00922F55">
      <w:r>
        <w:rPr>
          <w:lang w:val="en-GB"/>
        </w:rPr>
        <w:t>General Elections in Bosnia and Herzegovina are held every four years.</w:t>
      </w:r>
    </w:p>
    <w:p w:rsidR="00876E5E" w:rsidRDefault="00922F55">
      <w:pPr>
        <w:pStyle w:val="Heading2"/>
      </w:pPr>
      <w:r>
        <w:rPr>
          <w:lang w:val="en-GB"/>
        </w:rPr>
        <w:t>When will the 2026 General Elections be held?</w:t>
      </w:r>
    </w:p>
    <w:p w:rsidR="00876E5E" w:rsidRDefault="00922F55">
      <w:r>
        <w:rPr>
          <w:lang w:val="en-GB"/>
        </w:rPr>
        <w:t>General Elections in</w:t>
      </w:r>
      <w:r>
        <w:rPr>
          <w:lang w:val="en-GB"/>
        </w:rPr>
        <w:t xml:space="preserve"> Bosnia and Herzegovina will be held on Sunday, 4 October 2026.</w:t>
      </w:r>
    </w:p>
    <w:p w:rsidR="00876E5E" w:rsidRDefault="00922F55">
      <w:pPr>
        <w:pStyle w:val="Heading2"/>
      </w:pPr>
      <w:r>
        <w:rPr>
          <w:lang w:val="en-GB"/>
        </w:rPr>
        <w:t>Who is elected in the 2026 General Elections in BiH?</w:t>
      </w:r>
    </w:p>
    <w:p w:rsidR="00876E5E" w:rsidRDefault="00922F55">
      <w:r>
        <w:rPr>
          <w:lang w:val="en-GB"/>
        </w:rPr>
        <w:t>The following are directly elected in the 2026 General Elections:</w:t>
      </w:r>
    </w:p>
    <w:p w:rsidR="00876E5E" w:rsidRDefault="00922F55">
      <w:pPr>
        <w:pStyle w:val="ListBullet"/>
      </w:pPr>
      <w:r>
        <w:rPr>
          <w:lang w:val="en-GB"/>
        </w:rPr>
        <w:t>members of the Presidency of Bosnia and Herzegovina;</w:t>
      </w:r>
    </w:p>
    <w:p w:rsidR="00876E5E" w:rsidRDefault="00922F55">
      <w:pPr>
        <w:pStyle w:val="ListBullet"/>
      </w:pPr>
      <w:r>
        <w:rPr>
          <w:lang w:val="en-GB"/>
        </w:rPr>
        <w:t>members of the House</w:t>
      </w:r>
      <w:r>
        <w:rPr>
          <w:lang w:val="en-GB"/>
        </w:rPr>
        <w:t xml:space="preserve"> of Representatives of the Parliamentary Assembly of Bosnia and Herzegovina;</w:t>
      </w:r>
    </w:p>
    <w:p w:rsidR="00876E5E" w:rsidRDefault="00922F55">
      <w:pPr>
        <w:pStyle w:val="ListBullet"/>
      </w:pPr>
      <w:r>
        <w:rPr>
          <w:lang w:val="en-GB"/>
        </w:rPr>
        <w:t>members of the House of Representatives of the Parliament of the Federation of Bosnia and Herzegovina;</w:t>
      </w:r>
    </w:p>
    <w:p w:rsidR="00876E5E" w:rsidRDefault="00922F55">
      <w:pPr>
        <w:pStyle w:val="ListBullet"/>
      </w:pPr>
      <w:r>
        <w:rPr>
          <w:lang w:val="en-GB"/>
        </w:rPr>
        <w:t>members of the National Assembly of Republika Srpska;</w:t>
      </w:r>
    </w:p>
    <w:p w:rsidR="00876E5E" w:rsidRDefault="00922F55">
      <w:pPr>
        <w:pStyle w:val="ListBullet"/>
      </w:pPr>
      <w:r>
        <w:rPr>
          <w:lang w:val="en-GB"/>
        </w:rPr>
        <w:t>the President and Vice</w:t>
      </w:r>
      <w:r>
        <w:rPr>
          <w:lang w:val="en-GB"/>
        </w:rPr>
        <w:t>-Presidents of Republika Srpska; and</w:t>
      </w:r>
    </w:p>
    <w:p w:rsidR="00876E5E" w:rsidRDefault="00922F55">
      <w:pPr>
        <w:pStyle w:val="ListBullet"/>
      </w:pPr>
      <w:r>
        <w:rPr>
          <w:lang w:val="en-GB"/>
        </w:rPr>
        <w:t>members of cantonal assemblies in the Federation of Bosnia and Herzegovina.</w:t>
      </w:r>
    </w:p>
    <w:p w:rsidR="00876E5E" w:rsidRDefault="00922F55">
      <w:pPr>
        <w:pStyle w:val="Heading2"/>
      </w:pPr>
      <w:r>
        <w:rPr>
          <w:lang w:val="en-GB"/>
        </w:rPr>
        <w:t>Which electoral system is used in General Elections in BiH?</w:t>
      </w:r>
    </w:p>
    <w:p w:rsidR="00876E5E" w:rsidRDefault="00922F55">
      <w:r>
        <w:rPr>
          <w:lang w:val="en-GB"/>
        </w:rPr>
        <w:t>A plurality electoral system is used to elect the members of the Presidency of Bosn</w:t>
      </w:r>
      <w:r>
        <w:rPr>
          <w:lang w:val="en-GB"/>
        </w:rPr>
        <w:t>ia and Herzegovina and the President and Vice-Presidents of Republika Srpska.</w:t>
      </w:r>
    </w:p>
    <w:p w:rsidR="00876E5E" w:rsidRDefault="00922F55">
      <w:r>
        <w:rPr>
          <w:lang w:val="en-GB"/>
        </w:rPr>
        <w:t>A proportional representation system is used to elect members of the House of Representatives of the Parliamentary Assembly of Bosnia and Herzegovina, the House of Representative</w:t>
      </w:r>
      <w:r>
        <w:rPr>
          <w:lang w:val="en-GB"/>
        </w:rPr>
        <w:t>s of the Parliament of the Federation of Bosnia and Herzegovina, the National Assembly of Republika Srpska, and the cantonal assemblies in the Federation of Bosnia and Herzegovina.</w:t>
      </w:r>
    </w:p>
    <w:p w:rsidR="00876E5E" w:rsidRDefault="00922F55">
      <w:pPr>
        <w:pStyle w:val="Heading2"/>
      </w:pPr>
      <w:r>
        <w:rPr>
          <w:lang w:val="en-GB"/>
        </w:rPr>
        <w:t>Who is responsible for organising and conducting elections in Bosnia and He</w:t>
      </w:r>
      <w:r>
        <w:rPr>
          <w:lang w:val="en-GB"/>
        </w:rPr>
        <w:t>rzegovina?</w:t>
      </w:r>
    </w:p>
    <w:p w:rsidR="00876E5E" w:rsidRDefault="00922F55">
      <w:r>
        <w:rPr>
          <w:lang w:val="en-GB"/>
        </w:rPr>
        <w:t>The Central Election Commission of Bosnia and Herzegovina (CEC BiH) is responsible for organising and conducting elections in Bosnia and Herzegovina. City and municipal election commissions, the Election Commission of Brčko District of BiH and p</w:t>
      </w:r>
      <w:r>
        <w:rPr>
          <w:lang w:val="en-GB"/>
        </w:rPr>
        <w:t>olling station committees also participate in administering elections in accordance with their statutory responsibilities.</w:t>
      </w:r>
    </w:p>
    <w:p w:rsidR="00876E5E" w:rsidRDefault="00922F55">
      <w:pPr>
        <w:pStyle w:val="Heading2"/>
      </w:pPr>
      <w:r>
        <w:rPr>
          <w:lang w:val="en-GB"/>
        </w:rPr>
        <w:t>What is the official website for elections in Bosnia and Herzegovina?</w:t>
      </w:r>
    </w:p>
    <w:p w:rsidR="00876E5E" w:rsidRDefault="00922F55">
      <w:r>
        <w:rPr>
          <w:lang w:val="en-GB"/>
        </w:rPr>
        <w:t>All official information on elections in Bosnia and Herzegovina</w:t>
      </w:r>
      <w:r>
        <w:rPr>
          <w:lang w:val="en-GB"/>
        </w:rPr>
        <w:t>, including regulations, decisions, instructions, forms and information on the 2026 General Elections, is available on the official website of the Central Election Commission of Bosnia and Herzegovina — www.izbori.ba.</w:t>
      </w:r>
    </w:p>
    <w:p w:rsidR="00876E5E" w:rsidRDefault="00922F55">
      <w:pPr>
        <w:pStyle w:val="Heading2"/>
      </w:pPr>
      <w:r>
        <w:rPr>
          <w:lang w:val="en-GB"/>
        </w:rPr>
        <w:t xml:space="preserve">Under which legislation are elections </w:t>
      </w:r>
      <w:r>
        <w:rPr>
          <w:lang w:val="en-GB"/>
        </w:rPr>
        <w:t>organised and conducted in Bosnia and Herzegovina?</w:t>
      </w:r>
    </w:p>
    <w:p w:rsidR="00876E5E" w:rsidRDefault="00922F55">
      <w:r>
        <w:rPr>
          <w:lang w:val="en-GB"/>
        </w:rPr>
        <w:t>The Election Law of Bosnia and Herzegovina is the fundamental law governing the organisation and conduct of elections in Bosnia and Herzegovina. Additional laws governing election administration are the El</w:t>
      </w:r>
      <w:r>
        <w:rPr>
          <w:lang w:val="en-GB"/>
        </w:rPr>
        <w:t>ection Law of Republika Srpska and the Election Law of Brčko District of BiH.</w:t>
      </w:r>
    </w:p>
    <w:p w:rsidR="00876E5E" w:rsidRDefault="00922F55">
      <w:r>
        <w:rPr>
          <w:lang w:val="en-GB"/>
        </w:rPr>
        <w:lastRenderedPageBreak/>
        <w:t xml:space="preserve">All implementing acts adopted by the CEC BiH that set out procedures defining each segment of the electoral process in greater detail are also relevant to the organisation and </w:t>
      </w:r>
      <w:r>
        <w:rPr>
          <w:lang w:val="en-GB"/>
        </w:rPr>
        <w:t>conduct of elections.</w:t>
      </w:r>
    </w:p>
    <w:p w:rsidR="00876E5E" w:rsidRDefault="00922F55">
      <w:pPr>
        <w:pStyle w:val="Heading2"/>
      </w:pPr>
      <w:r>
        <w:rPr>
          <w:lang w:val="en-GB"/>
        </w:rPr>
        <w:t>How many voters are eligible to vote in the 2026 General Elections?</w:t>
      </w:r>
    </w:p>
    <w:p w:rsidR="00876E5E" w:rsidRDefault="00922F55">
      <w:r>
        <w:rPr>
          <w:lang w:val="en-GB"/>
        </w:rPr>
        <w:t>According to the Decision on the Closure of the Central Voter Register as at 20 August 2026, 3,408,517 voters were entered in the Central Voter Register.</w:t>
      </w:r>
    </w:p>
    <w:p w:rsidR="00876E5E" w:rsidRDefault="00922F55">
      <w:pPr>
        <w:pStyle w:val="Heading2"/>
      </w:pPr>
      <w:r>
        <w:rPr>
          <w:lang w:val="en-GB"/>
        </w:rPr>
        <w:t xml:space="preserve">Are new </w:t>
      </w:r>
      <w:r>
        <w:rPr>
          <w:lang w:val="en-GB"/>
        </w:rPr>
        <w:t>election technologies being used in the 2026 General Elections?</w:t>
      </w:r>
    </w:p>
    <w:p w:rsidR="00876E5E" w:rsidRDefault="00922F55">
      <w:r>
        <w:rPr>
          <w:lang w:val="en-GB"/>
        </w:rPr>
        <w:t>The first comprehensive use of specific election technologies in the electoral process in Bosnia and Herzegovina is planned for the 2026 General Elections.</w:t>
      </w:r>
    </w:p>
    <w:p w:rsidR="00876E5E" w:rsidRDefault="00922F55">
      <w:r>
        <w:rPr>
          <w:lang w:val="en-GB"/>
        </w:rPr>
        <w:t>The new technologies include:</w:t>
      </w:r>
    </w:p>
    <w:p w:rsidR="00876E5E" w:rsidRDefault="00922F55">
      <w:r>
        <w:rPr>
          <w:lang w:val="en-GB"/>
        </w:rPr>
        <w:t>1. bio</w:t>
      </w:r>
      <w:r>
        <w:rPr>
          <w:lang w:val="en-GB"/>
        </w:rPr>
        <w:t>metric voter identification and authentication; and</w:t>
      </w:r>
    </w:p>
    <w:p w:rsidR="00876E5E" w:rsidRDefault="00922F55">
      <w:r>
        <w:rPr>
          <w:lang w:val="en-GB"/>
        </w:rPr>
        <w:t>2. optical scanners and automated ballot counting.</w:t>
      </w:r>
    </w:p>
    <w:p w:rsidR="00876E5E" w:rsidRDefault="00922F55">
      <w:r>
        <w:rPr>
          <w:lang w:val="en-GB"/>
        </w:rPr>
        <w:t>Specific election technologies affect several stages of election day, from voter identification and inserting ballots into a scanner to electronic counti</w:t>
      </w:r>
      <w:r>
        <w:rPr>
          <w:lang w:val="en-GB"/>
        </w:rPr>
        <w:t>ng and transmission of results. Their introduction is therefore one of the most important innovations of the 2026 General Elections.</w:t>
      </w:r>
    </w:p>
    <w:p w:rsidR="00876E5E" w:rsidRDefault="00922F55">
      <w:r>
        <w:rPr>
          <w:lang w:val="en-GB"/>
        </w:rPr>
        <w:br w:type="page"/>
      </w:r>
    </w:p>
    <w:p w:rsidR="00876E5E" w:rsidRDefault="00922F55">
      <w:pPr>
        <w:pStyle w:val="Heading1"/>
      </w:pPr>
      <w:r>
        <w:rPr>
          <w:lang w:val="en-GB"/>
        </w:rPr>
        <w:lastRenderedPageBreak/>
        <w:t>Basic information on the Coalition for Free and Fair Elections “Pod lupom”</w:t>
      </w:r>
    </w:p>
    <w:p w:rsidR="00876E5E" w:rsidRDefault="00922F55">
      <w:pPr>
        <w:pStyle w:val="Heading2"/>
      </w:pPr>
      <w:r>
        <w:rPr>
          <w:lang w:val="en-GB"/>
        </w:rPr>
        <w:t>About the Coalition</w:t>
      </w:r>
    </w:p>
    <w:p w:rsidR="00876E5E" w:rsidRDefault="00922F55">
      <w:r>
        <w:rPr>
          <w:lang w:val="en-GB"/>
        </w:rPr>
        <w:t>The Coalition for Free and</w:t>
      </w:r>
      <w:r>
        <w:rPr>
          <w:lang w:val="en-GB"/>
        </w:rPr>
        <w:t xml:space="preserve"> Fair Elections “Pod lupom” was established in May 2014 to conduct citizen, non-partisan and independent election observation missions in Bosnia and Herzegovina and to improve the electoral process in Bosnia and Herzegovina.</w:t>
      </w:r>
    </w:p>
    <w:p w:rsidR="00876E5E" w:rsidRDefault="00922F55">
      <w:pPr>
        <w:pStyle w:val="Heading2"/>
      </w:pPr>
      <w:r>
        <w:rPr>
          <w:lang w:val="en-GB"/>
        </w:rPr>
        <w:t>Vision</w:t>
      </w:r>
    </w:p>
    <w:p w:rsidR="00876E5E" w:rsidRDefault="00922F55">
      <w:r>
        <w:rPr>
          <w:lang w:val="en-GB"/>
        </w:rPr>
        <w:t xml:space="preserve">Free and fair elections </w:t>
      </w:r>
      <w:r>
        <w:rPr>
          <w:lang w:val="en-GB"/>
        </w:rPr>
        <w:t>in Bosnia and Herzegovina.</w:t>
      </w:r>
    </w:p>
    <w:p w:rsidR="00876E5E" w:rsidRDefault="00922F55">
      <w:pPr>
        <w:pStyle w:val="Heading2"/>
      </w:pPr>
      <w:r>
        <w:rPr>
          <w:lang w:val="en-GB"/>
        </w:rPr>
        <w:t>Mission</w:t>
      </w:r>
    </w:p>
    <w:p w:rsidR="00876E5E" w:rsidRDefault="00922F55">
      <w:r>
        <w:rPr>
          <w:lang w:val="en-GB"/>
        </w:rPr>
        <w:t>To improve the electoral process in Bosnia and Herzegovina by fostering impartiality, ethics, transparency, professionalism, innovation, accountability and solidarity.</w:t>
      </w:r>
    </w:p>
    <w:p w:rsidR="00876E5E" w:rsidRDefault="00922F55">
      <w:pPr>
        <w:pStyle w:val="Heading2"/>
      </w:pPr>
      <w:r>
        <w:rPr>
          <w:lang w:val="en-GB"/>
        </w:rPr>
        <w:t>Objectives</w:t>
      </w:r>
    </w:p>
    <w:p w:rsidR="00876E5E" w:rsidRDefault="00922F55">
      <w:pPr>
        <w:pStyle w:val="ListBullet"/>
      </w:pPr>
      <w:r>
        <w:rPr>
          <w:lang w:val="en-GB"/>
        </w:rPr>
        <w:t>Free expression of citizens’ electoral wil</w:t>
      </w:r>
      <w:r>
        <w:rPr>
          <w:lang w:val="en-GB"/>
        </w:rPr>
        <w:t>l</w:t>
      </w:r>
    </w:p>
    <w:p w:rsidR="00876E5E" w:rsidRDefault="00922F55">
      <w:pPr>
        <w:pStyle w:val="ListBullet"/>
      </w:pPr>
      <w:r>
        <w:rPr>
          <w:lang w:val="en-GB"/>
        </w:rPr>
        <w:t>Preventing electoral irregularities and sanctioning those responsible</w:t>
      </w:r>
    </w:p>
    <w:p w:rsidR="00876E5E" w:rsidRDefault="00922F55">
      <w:pPr>
        <w:pStyle w:val="ListBullet"/>
      </w:pPr>
      <w:r>
        <w:rPr>
          <w:lang w:val="en-GB"/>
        </w:rPr>
        <w:t>Improving the electoral process and electoral legislation</w:t>
      </w:r>
    </w:p>
    <w:p w:rsidR="00876E5E" w:rsidRDefault="00922F55">
      <w:pPr>
        <w:pStyle w:val="ListBullet"/>
      </w:pPr>
      <w:r>
        <w:rPr>
          <w:lang w:val="en-GB"/>
        </w:rPr>
        <w:t>Strengthening the capacities of member organisations</w:t>
      </w:r>
    </w:p>
    <w:p w:rsidR="00876E5E" w:rsidRDefault="00922F55">
      <w:pPr>
        <w:pStyle w:val="Heading2"/>
      </w:pPr>
      <w:r>
        <w:rPr>
          <w:lang w:val="en-GB"/>
        </w:rPr>
        <w:t>Areas of work</w:t>
      </w:r>
    </w:p>
    <w:p w:rsidR="00876E5E" w:rsidRDefault="00922F55">
      <w:pPr>
        <w:pStyle w:val="Heading3"/>
      </w:pPr>
      <w:r>
        <w:rPr>
          <w:lang w:val="en-GB"/>
        </w:rPr>
        <w:t>1 Election observation in BiH</w:t>
      </w:r>
    </w:p>
    <w:p w:rsidR="00876E5E" w:rsidRDefault="00922F55">
      <w:r>
        <w:rPr>
          <w:lang w:val="en-GB"/>
        </w:rPr>
        <w:t>Long-term election observatio</w:t>
      </w:r>
      <w:r>
        <w:rPr>
          <w:lang w:val="en-GB"/>
        </w:rPr>
        <w:t>n (LTO). Short-term election observation (STO).</w:t>
      </w:r>
    </w:p>
    <w:p w:rsidR="00876E5E" w:rsidRDefault="00922F55">
      <w:r>
        <w:rPr>
          <w:lang w:val="en-GB"/>
        </w:rPr>
        <w:t>Additional monitoring: media reporting; pressure on voters; political entities’ social media; the formation of polling station committees; political gatherings and rallies. Research and analysis.</w:t>
      </w:r>
    </w:p>
    <w:p w:rsidR="00876E5E" w:rsidRDefault="00922F55">
      <w:pPr>
        <w:pStyle w:val="Heading3"/>
      </w:pPr>
      <w:r>
        <w:rPr>
          <w:lang w:val="en-GB"/>
        </w:rPr>
        <w:t>2 Advocacy f</w:t>
      </w:r>
      <w:r>
        <w:rPr>
          <w:lang w:val="en-GB"/>
        </w:rPr>
        <w:t>or better elections in BiH</w:t>
      </w:r>
    </w:p>
    <w:p w:rsidR="00876E5E" w:rsidRDefault="00922F55">
      <w:r>
        <w:rPr>
          <w:lang w:val="en-GB"/>
        </w:rPr>
        <w:t>After each observation mission, “Pod lupom” publishes recommendations aimed at improving elections.</w:t>
      </w:r>
    </w:p>
    <w:p w:rsidR="00876E5E" w:rsidRDefault="00922F55">
      <w:pPr>
        <w:pStyle w:val="Heading3"/>
      </w:pPr>
      <w:r>
        <w:rPr>
          <w:lang w:val="en-GB"/>
        </w:rPr>
        <w:t>3 Education</w:t>
      </w:r>
    </w:p>
    <w:p w:rsidR="00876E5E" w:rsidRDefault="00922F55">
      <w:r>
        <w:rPr>
          <w:lang w:val="en-GB"/>
        </w:rPr>
        <w:t xml:space="preserve">First-time Voter workshops for those voting for the first time. Fair Elections Academies offering election education </w:t>
      </w:r>
      <w:r>
        <w:rPr>
          <w:lang w:val="en-GB"/>
        </w:rPr>
        <w:t>to the wider public. Other education: training for the media, civil society organisations and international actors, and continuing education for the wider public.</w:t>
      </w:r>
    </w:p>
    <w:p w:rsidR="00876E5E" w:rsidRDefault="00922F55">
      <w:pPr>
        <w:pStyle w:val="Heading3"/>
      </w:pPr>
      <w:r>
        <w:rPr>
          <w:lang w:val="en-GB"/>
        </w:rPr>
        <w:t>4 Capacity building for civil society organisations</w:t>
      </w:r>
    </w:p>
    <w:p w:rsidR="00876E5E" w:rsidRDefault="00922F55">
      <w:r>
        <w:rPr>
          <w:lang w:val="en-GB"/>
        </w:rPr>
        <w:t xml:space="preserve">Involving civil society organisations in </w:t>
      </w:r>
      <w:r>
        <w:rPr>
          <w:lang w:val="en-GB"/>
        </w:rPr>
        <w:t>election observation and education, with the aim of enabling them, at a later stage, to independently conduct observation missions in their local communities.</w:t>
      </w:r>
    </w:p>
    <w:p w:rsidR="00876E5E" w:rsidRDefault="00922F55">
      <w:r>
        <w:rPr>
          <w:lang w:val="en-GB"/>
        </w:rPr>
        <w:t>Other activities: general training for civil society organisations, education tailored to their n</w:t>
      </w:r>
      <w:r>
        <w:rPr>
          <w:lang w:val="en-GB"/>
        </w:rPr>
        <w:t>eeds, technical equipment support, and promotion of their missions and visions.</w:t>
      </w:r>
    </w:p>
    <w:p w:rsidR="00876E5E" w:rsidRDefault="00922F55">
      <w:pPr>
        <w:pStyle w:val="Heading2"/>
      </w:pPr>
      <w:r>
        <w:rPr>
          <w:lang w:val="en-GB"/>
        </w:rPr>
        <w:lastRenderedPageBreak/>
        <w:t>Organisational structure</w:t>
      </w:r>
    </w:p>
    <w:tbl>
      <w:tblPr>
        <w:tblW w:w="0" w:type="auto"/>
        <w:tblLayout w:type="fixed"/>
        <w:tblLook w:val="04A0" w:firstRow="1" w:lastRow="0" w:firstColumn="1" w:lastColumn="0" w:noHBand="0" w:noVBand="1"/>
      </w:tblPr>
      <w:tblGrid>
        <w:gridCol w:w="7427"/>
        <w:gridCol w:w="1984"/>
      </w:tblGrid>
      <w:tr w:rsidR="00876E5E">
        <w:trPr>
          <w:cantSplit/>
          <w:tblHeader/>
        </w:trPr>
        <w:tc>
          <w:tcPr>
            <w:tcW w:w="742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Membership</w:t>
            </w:r>
          </w:p>
        </w:tc>
        <w:tc>
          <w:tcPr>
            <w:tcW w:w="198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Organisations</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Member organisations of the “Pod lupom” Coalition</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37</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Full members</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22</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Associate members</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15</w:t>
            </w:r>
          </w:p>
        </w:tc>
      </w:tr>
    </w:tbl>
    <w:p w:rsidR="00876E5E" w:rsidRDefault="00876E5E">
      <w:pPr>
        <w:spacing w:after="0"/>
      </w:pPr>
    </w:p>
    <w:p w:rsidR="00876E5E" w:rsidRDefault="00922F55">
      <w:pPr>
        <w:pStyle w:val="Heading2"/>
      </w:pPr>
      <w:r>
        <w:rPr>
          <w:lang w:val="en-GB"/>
        </w:rPr>
        <w:t>The Coalition in numbers</w:t>
      </w:r>
    </w:p>
    <w:tbl>
      <w:tblPr>
        <w:tblW w:w="0" w:type="auto"/>
        <w:tblLayout w:type="fixed"/>
        <w:tblLook w:val="04A0" w:firstRow="1" w:lastRow="0" w:firstColumn="1" w:lastColumn="0" w:noHBand="0" w:noVBand="1"/>
      </w:tblPr>
      <w:tblGrid>
        <w:gridCol w:w="7427"/>
        <w:gridCol w:w="1984"/>
      </w:tblGrid>
      <w:tr w:rsidR="00876E5E">
        <w:trPr>
          <w:cantSplit/>
          <w:tblHeader/>
        </w:trPr>
        <w:tc>
          <w:tcPr>
            <w:tcW w:w="742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Indicator</w:t>
            </w:r>
          </w:p>
        </w:tc>
        <w:tc>
          <w:tcPr>
            <w:tcW w:w="198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876E5E" w:rsidRDefault="00922F55">
            <w:pPr>
              <w:spacing w:before="40" w:after="40" w:line="240" w:lineRule="auto"/>
            </w:pPr>
            <w:r>
              <w:rPr>
                <w:b/>
                <w:color w:val="FFFFFF"/>
                <w:sz w:val="20"/>
              </w:rPr>
              <w:t>Number</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Years of activity</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12</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Observation missions</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25</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Election observers engaged</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16,700+</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Young people in BiH educated about elections</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62,000+</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Citizens directly participating in Coalition activities</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876E5E" w:rsidRDefault="00922F55">
            <w:pPr>
              <w:spacing w:before="40" w:after="40" w:line="240" w:lineRule="auto"/>
            </w:pPr>
            <w:r>
              <w:rPr>
                <w:sz w:val="20"/>
              </w:rPr>
              <w:t>170,000+</w:t>
            </w:r>
          </w:p>
        </w:tc>
      </w:tr>
      <w:tr w:rsidR="00876E5E">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 xml:space="preserve">Coalition recommendations for </w:t>
            </w:r>
            <w:r>
              <w:rPr>
                <w:sz w:val="20"/>
              </w:rPr>
              <w:t>better elections fully or partially implemented</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876E5E" w:rsidRDefault="00922F55">
            <w:pPr>
              <w:spacing w:before="40" w:after="40" w:line="240" w:lineRule="auto"/>
            </w:pPr>
            <w:r>
              <w:rPr>
                <w:sz w:val="20"/>
              </w:rPr>
              <w:t>60</w:t>
            </w:r>
          </w:p>
        </w:tc>
      </w:tr>
    </w:tbl>
    <w:p w:rsidR="00876E5E" w:rsidRDefault="00876E5E">
      <w:pPr>
        <w:spacing w:after="0"/>
      </w:pPr>
    </w:p>
    <w:p w:rsidR="00876E5E" w:rsidRDefault="00922F55">
      <w:pPr>
        <w:pStyle w:val="Heading2"/>
      </w:pPr>
      <w:r>
        <w:rPr>
          <w:lang w:val="en-GB"/>
        </w:rPr>
        <w:t>Contact</w:t>
      </w:r>
    </w:p>
    <w:p w:rsidR="00876E5E" w:rsidRDefault="00922F55">
      <w:r>
        <w:rPr>
          <w:lang w:val="en-GB"/>
        </w:rPr>
        <w:t>General enquiries: info@podlupom.org  |  033 268 160</w:t>
      </w:r>
    </w:p>
    <w:p w:rsidR="00876E5E" w:rsidRDefault="00922F55">
      <w:r>
        <w:rPr>
          <w:lang w:val="en-GB"/>
        </w:rPr>
        <w:t>Media enquiries: pr@podlupom.org  |  063 396 521</w:t>
      </w:r>
    </w:p>
    <w:p w:rsidR="00876E5E" w:rsidRDefault="00922F55">
      <w:r>
        <w:rPr>
          <w:lang w:val="en-GB"/>
        </w:rPr>
        <w:t>Public relations and media coordinator (PR)</w:t>
      </w:r>
    </w:p>
    <w:p w:rsidR="00876E5E" w:rsidRDefault="00922F55">
      <w:r>
        <w:rPr>
          <w:lang w:val="en-GB"/>
        </w:rPr>
        <w:t xml:space="preserve">More information about the Coalition and our </w:t>
      </w:r>
      <w:r>
        <w:rPr>
          <w:lang w:val="en-GB"/>
        </w:rPr>
        <w:t>team: www.podlupom.org</w:t>
      </w:r>
    </w:p>
    <w:p w:rsidR="00876E5E" w:rsidRDefault="00922F55">
      <w:r>
        <w:rPr>
          <w:lang w:val="en-GB"/>
        </w:rPr>
        <w:br w:type="page"/>
      </w:r>
    </w:p>
    <w:p w:rsidR="00876E5E" w:rsidRDefault="00922F55">
      <w:pPr>
        <w:pStyle w:val="Heading1"/>
      </w:pPr>
      <w:r>
        <w:rPr>
          <w:lang w:val="en-GB"/>
        </w:rPr>
        <w:lastRenderedPageBreak/>
        <w:t>Online channels</w:t>
      </w:r>
    </w:p>
    <w:p w:rsidR="00876E5E" w:rsidRDefault="00922F55">
      <w:pPr>
        <w:jc w:val="center"/>
      </w:pPr>
      <w:r>
        <w:rPr>
          <w:noProof/>
        </w:rPr>
        <w:drawing>
          <wp:inline distT="0" distB="0" distL="0" distR="0">
            <wp:extent cx="5220000" cy="738238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22"/>
                    <a:stretch>
                      <a:fillRect/>
                    </a:stretch>
                  </pic:blipFill>
                  <pic:spPr>
                    <a:xfrm>
                      <a:off x="0" y="0"/>
                      <a:ext cx="5220000" cy="7382383"/>
                    </a:xfrm>
                    <a:prstGeom prst="rect">
                      <a:avLst/>
                    </a:prstGeom>
                  </pic:spPr>
                </pic:pic>
              </a:graphicData>
            </a:graphic>
          </wp:inline>
        </w:drawing>
      </w:r>
    </w:p>
    <w:p w:rsidR="00876E5E" w:rsidRDefault="00922F55">
      <w:r>
        <w:rPr>
          <w:lang w:val="en-GB"/>
        </w:rPr>
        <w:br w:type="page"/>
      </w:r>
    </w:p>
    <w:p w:rsidR="00876E5E" w:rsidRDefault="00922F55">
      <w:pPr>
        <w:jc w:val="center"/>
      </w:pPr>
      <w:r>
        <w:rPr>
          <w:noProof/>
        </w:rPr>
        <w:lastRenderedPageBreak/>
        <w:drawing>
          <wp:inline distT="0" distB="0" distL="0" distR="0">
            <wp:extent cx="5868000" cy="829881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23"/>
                    <a:stretch>
                      <a:fillRect/>
                    </a:stretch>
                  </pic:blipFill>
                  <pic:spPr>
                    <a:xfrm>
                      <a:off x="0" y="0"/>
                      <a:ext cx="5868000" cy="8298817"/>
                    </a:xfrm>
                    <a:prstGeom prst="rect">
                      <a:avLst/>
                    </a:prstGeom>
                  </pic:spPr>
                </pic:pic>
              </a:graphicData>
            </a:graphic>
          </wp:inline>
        </w:drawing>
      </w:r>
    </w:p>
    <w:sectPr w:rsidR="00876E5E" w:rsidSect="00034616">
      <w:headerReference w:type="default" r:id="rId24"/>
      <w:footerReference w:type="default" r:id="rId25"/>
      <w:pgSz w:w="11906" w:h="16838"/>
      <w:pgMar w:top="1134" w:right="1247" w:bottom="1020" w:left="1247" w:header="51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F55" w:rsidRDefault="00922F55">
      <w:pPr>
        <w:spacing w:after="0" w:line="240" w:lineRule="auto"/>
      </w:pPr>
      <w:r>
        <w:separator/>
      </w:r>
    </w:p>
  </w:endnote>
  <w:endnote w:type="continuationSeparator" w:id="0">
    <w:p w:rsidR="00922F55" w:rsidRDefault="00922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E5E" w:rsidRDefault="00922F55">
    <w:pPr>
      <w:pStyle w:val="Footer"/>
      <w:jc w:val="right"/>
    </w:pPr>
    <w:r>
      <w:fldChar w:fldCharType="begin"/>
    </w:r>
    <w:r>
      <w:instrText>PAGE</w:instrText>
    </w:r>
    <w:r>
      <w:fldChar w:fldCharType="separate"/>
    </w:r>
    <w:r w:rsidR="00FF1A93">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F55" w:rsidRDefault="00922F55">
      <w:pPr>
        <w:spacing w:after="0" w:line="240" w:lineRule="auto"/>
      </w:pPr>
      <w:r>
        <w:separator/>
      </w:r>
    </w:p>
  </w:footnote>
  <w:footnote w:type="continuationSeparator" w:id="0">
    <w:p w:rsidR="00922F55" w:rsidRDefault="00922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E5E" w:rsidRDefault="00922F55">
    <w:pPr>
      <w:pStyle w:val="Header"/>
    </w:pPr>
    <w:r>
      <w:rPr>
        <w:color w:val="666666"/>
        <w:sz w:val="16"/>
      </w:rPr>
      <w:t>POD LUPOM  |  2026 GENERAL ELECTIONS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876E5E"/>
    <w:rsid w:val="00922F55"/>
    <w:rsid w:val="00AA1D8D"/>
    <w:rsid w:val="00B47730"/>
    <w:rsid w:val="00CB0664"/>
    <w:rsid w:val="00FC693F"/>
    <w:rsid w:val="00FF1A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F0C785"/>
  <w14:defaultImageDpi w14:val="300"/>
  <w15:docId w15:val="{C2529E97-9206-480A-BF22-A356BEF52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line="259"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DF829-DA84-4191-B389-31E89EA58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4960</Words>
  <Characters>28277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 lupom First Preliminary Report on the 2026 General Elections English Translation</dc:title>
  <dc:subject>AI-assisted English translation of the official BHS report</dc:subject>
  <dc:creator>Coalition for Free and Fair Elections Pod lupom</dc:creator>
  <cp:keywords/>
  <dc:description>generated by python-docx</dc:description>
  <cp:lastModifiedBy>CCI-Hasan</cp:lastModifiedBy>
  <cp:revision>2</cp:revision>
  <dcterms:created xsi:type="dcterms:W3CDTF">2013-12-23T23:15:00Z</dcterms:created>
  <dcterms:modified xsi:type="dcterms:W3CDTF">2026-10-03T16:21:00Z</dcterms:modified>
  <cp:category/>
</cp:coreProperties>
</file>