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2DF7" w:rsidRDefault="00887F79">
      <w:r>
        <w:rPr>
          <w:noProof/>
        </w:rPr>
        <w:drawing>
          <wp:inline distT="0" distB="0" distL="0" distR="0">
            <wp:extent cx="5903999" cy="62539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png"/>
                    <pic:cNvPicPr/>
                  </pic:nvPicPr>
                  <pic:blipFill>
                    <a:blip r:embed="rId8"/>
                    <a:stretch>
                      <a:fillRect/>
                    </a:stretch>
                  </pic:blipFill>
                  <pic:spPr>
                    <a:xfrm>
                      <a:off x="0" y="0"/>
                      <a:ext cx="5903999" cy="625392"/>
                    </a:xfrm>
                    <a:prstGeom prst="rect">
                      <a:avLst/>
                    </a:prstGeom>
                  </pic:spPr>
                </pic:pic>
              </a:graphicData>
            </a:graphic>
          </wp:inline>
        </w:drawing>
      </w:r>
    </w:p>
    <w:p w:rsidR="00942DF7" w:rsidRDefault="00887F79">
      <w:pPr>
        <w:pStyle w:val="Title"/>
      </w:pPr>
      <w:r>
        <w:rPr>
          <w:lang w:val="en-GB"/>
        </w:rPr>
        <w:t>SECOND PRELIMINARY REPORT</w:t>
      </w:r>
    </w:p>
    <w:p w:rsidR="00942DF7" w:rsidRDefault="00887F79">
      <w:pPr>
        <w:pStyle w:val="Subtitle"/>
      </w:pPr>
      <w:r>
        <w:rPr>
          <w:lang w:val="en-GB"/>
        </w:rPr>
        <w:t>Citizen non-partisan long-term observation of the 2026 General Elections in Bosnia and Herzegovina</w:t>
      </w:r>
    </w:p>
    <w:p w:rsidR="00942DF7" w:rsidRDefault="00887F79">
      <w:r>
        <w:rPr>
          <w:lang w:val="en-GB"/>
        </w:rPr>
        <w:t>Coalition for Free and Fair Elections “Pod lupom”</w:t>
      </w:r>
    </w:p>
    <w:p w:rsidR="00CE66B3" w:rsidRDefault="00CE66B3">
      <w:pPr>
        <w:rPr>
          <w:lang w:val="en-GB"/>
        </w:rPr>
      </w:pPr>
    </w:p>
    <w:p w:rsidR="00942DF7" w:rsidRDefault="00887F79">
      <w:bookmarkStart w:id="0" w:name="_GoBack"/>
      <w:bookmarkEnd w:id="0"/>
      <w:r>
        <w:rPr>
          <w:lang w:val="en-GB"/>
        </w:rPr>
        <w:t>October 2026</w:t>
      </w:r>
    </w:p>
    <w:p w:rsidR="00942DF7" w:rsidRDefault="00887F79">
      <w:pPr>
        <w:jc w:val="center"/>
      </w:pPr>
      <w:r>
        <w:rPr>
          <w:noProof/>
        </w:rPr>
        <w:drawing>
          <wp:inline distT="0" distB="0" distL="0" distR="0">
            <wp:extent cx="4608000" cy="28182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_art.png"/>
                    <pic:cNvPicPr/>
                  </pic:nvPicPr>
                  <pic:blipFill>
                    <a:blip r:embed="rId9"/>
                    <a:stretch>
                      <a:fillRect/>
                    </a:stretch>
                  </pic:blipFill>
                  <pic:spPr>
                    <a:xfrm>
                      <a:off x="0" y="0"/>
                      <a:ext cx="4608000" cy="2818260"/>
                    </a:xfrm>
                    <a:prstGeom prst="rect">
                      <a:avLst/>
                    </a:prstGeom>
                  </pic:spPr>
                </pic:pic>
              </a:graphicData>
            </a:graphic>
          </wp:inline>
        </w:drawing>
      </w:r>
    </w:p>
    <w:p w:rsidR="00942DF7" w:rsidRDefault="00887F79">
      <w:pPr>
        <w:jc w:val="center"/>
      </w:pPr>
      <w:r>
        <w:rPr>
          <w:lang w:val="en-GB"/>
        </w:rPr>
        <w:t>…because we care!</w:t>
      </w:r>
    </w:p>
    <w:p w:rsidR="00942DF7" w:rsidRDefault="00887F79">
      <w:r>
        <w:rPr>
          <w:lang w:val="en-GB"/>
        </w:rPr>
        <w:br w:type="page"/>
      </w:r>
    </w:p>
    <w:p w:rsidR="00942DF7" w:rsidRDefault="00887F79">
      <w:pPr>
        <w:pStyle w:val="Heading1"/>
      </w:pPr>
      <w:r>
        <w:rPr>
          <w:lang w:val="en-GB"/>
        </w:rPr>
        <w:lastRenderedPageBreak/>
        <w:t>Contents</w:t>
      </w:r>
    </w:p>
    <w:p w:rsidR="00942DF7" w:rsidRDefault="00887F79">
      <w:pPr>
        <w:tabs>
          <w:tab w:val="right" w:leader="dot" w:pos="9241"/>
        </w:tabs>
      </w:pPr>
      <w:r>
        <w:rPr>
          <w:lang w:val="en-GB"/>
        </w:rPr>
        <w:t xml:space="preserve">Summary of </w:t>
      </w:r>
      <w:r>
        <w:rPr>
          <w:lang w:val="en-GB"/>
        </w:rPr>
        <w:t>the Second Preliminary Report</w:t>
      </w:r>
      <w:r>
        <w:tab/>
        <w:t>3</w:t>
      </w:r>
    </w:p>
    <w:p w:rsidR="00942DF7" w:rsidRDefault="00887F79">
      <w:pPr>
        <w:tabs>
          <w:tab w:val="right" w:leader="dot" w:pos="9241"/>
        </w:tabs>
      </w:pPr>
      <w:r>
        <w:rPr>
          <w:lang w:val="en-GB"/>
        </w:rPr>
        <w:t>The “Pod lupom” Coalition observation mission for the 2026 General Elections</w:t>
      </w:r>
      <w:r>
        <w:tab/>
        <w:t>4</w:t>
      </w:r>
    </w:p>
    <w:p w:rsidR="00942DF7" w:rsidRDefault="00887F79">
      <w:pPr>
        <w:tabs>
          <w:tab w:val="right" w:leader="dot" w:pos="9241"/>
        </w:tabs>
      </w:pPr>
      <w:r>
        <w:rPr>
          <w:lang w:val="en-GB"/>
        </w:rPr>
        <w:t>Brief overview of new election technologies and key observations</w:t>
      </w:r>
      <w:r>
        <w:tab/>
        <w:t>5</w:t>
      </w:r>
    </w:p>
    <w:p w:rsidR="00942DF7" w:rsidRDefault="00887F79">
      <w:pPr>
        <w:tabs>
          <w:tab w:val="right" w:leader="dot" w:pos="9241"/>
        </w:tabs>
        <w:ind w:left="283"/>
      </w:pPr>
      <w:r>
        <w:rPr>
          <w:lang w:val="en-GB"/>
        </w:rPr>
        <w:t>General information on the new election technologies</w:t>
      </w:r>
      <w:r>
        <w:tab/>
        <w:t>5</w:t>
      </w:r>
    </w:p>
    <w:p w:rsidR="00942DF7" w:rsidRDefault="00887F79">
      <w:pPr>
        <w:tabs>
          <w:tab w:val="right" w:leader="dot" w:pos="9241"/>
        </w:tabs>
        <w:ind w:left="283"/>
      </w:pPr>
      <w:r>
        <w:rPr>
          <w:lang w:val="en-GB"/>
        </w:rPr>
        <w:t>Voter education</w:t>
      </w:r>
      <w:r>
        <w:tab/>
        <w:t>5</w:t>
      </w:r>
    </w:p>
    <w:p w:rsidR="00942DF7" w:rsidRDefault="00887F79">
      <w:pPr>
        <w:tabs>
          <w:tab w:val="right" w:leader="dot" w:pos="9241"/>
        </w:tabs>
        <w:ind w:left="283"/>
      </w:pPr>
      <w:r>
        <w:rPr>
          <w:lang w:val="en-GB"/>
        </w:rPr>
        <w:t>Train</w:t>
      </w:r>
      <w:r>
        <w:rPr>
          <w:lang w:val="en-GB"/>
        </w:rPr>
        <w:t>ing for the election administration</w:t>
      </w:r>
      <w:r>
        <w:tab/>
        <w:t>6</w:t>
      </w:r>
    </w:p>
    <w:p w:rsidR="00942DF7" w:rsidRDefault="00887F79">
      <w:pPr>
        <w:tabs>
          <w:tab w:val="right" w:leader="dot" w:pos="9241"/>
        </w:tabs>
        <w:ind w:left="283"/>
      </w:pPr>
      <w:r>
        <w:rPr>
          <w:lang w:val="en-GB"/>
        </w:rPr>
        <w:t>Disinformation</w:t>
      </w:r>
      <w:r>
        <w:tab/>
        <w:t>6</w:t>
      </w:r>
    </w:p>
    <w:p w:rsidR="00942DF7" w:rsidRDefault="00887F79">
      <w:pPr>
        <w:tabs>
          <w:tab w:val="right" w:leader="dot" w:pos="9241"/>
        </w:tabs>
      </w:pPr>
      <w:r>
        <w:rPr>
          <w:lang w:val="en-GB"/>
        </w:rPr>
        <w:t>Electoral irregularities in the pre-election period</w:t>
      </w:r>
      <w:r>
        <w:tab/>
        <w:t>7</w:t>
      </w:r>
    </w:p>
    <w:p w:rsidR="00942DF7" w:rsidRDefault="00887F79">
      <w:pPr>
        <w:tabs>
          <w:tab w:val="right" w:leader="dot" w:pos="9241"/>
        </w:tabs>
      </w:pPr>
      <w:r>
        <w:rPr>
          <w:lang w:val="en-GB"/>
        </w:rPr>
        <w:t>Misuse of public funds and resources</w:t>
      </w:r>
      <w:r>
        <w:tab/>
        <w:t>8</w:t>
      </w:r>
    </w:p>
    <w:p w:rsidR="00942DF7" w:rsidRDefault="00887F79">
      <w:pPr>
        <w:tabs>
          <w:tab w:val="right" w:leader="dot" w:pos="9241"/>
        </w:tabs>
      </w:pPr>
      <w:r>
        <w:rPr>
          <w:lang w:val="en-GB"/>
        </w:rPr>
        <w:t>Irregularities in the formation of polling station committees</w:t>
      </w:r>
      <w:r>
        <w:tab/>
        <w:t>10</w:t>
      </w:r>
    </w:p>
    <w:p w:rsidR="00942DF7" w:rsidRDefault="00887F79">
      <w:pPr>
        <w:tabs>
          <w:tab w:val="right" w:leader="dot" w:pos="9241"/>
        </w:tabs>
      </w:pPr>
      <w:r>
        <w:rPr>
          <w:lang w:val="en-GB"/>
        </w:rPr>
        <w:t>Premature election campaigning</w:t>
      </w:r>
      <w:r>
        <w:tab/>
        <w:t>11</w:t>
      </w:r>
    </w:p>
    <w:p w:rsidR="00942DF7" w:rsidRDefault="00887F79">
      <w:pPr>
        <w:tabs>
          <w:tab w:val="right" w:leader="dot" w:pos="9241"/>
        </w:tabs>
      </w:pPr>
      <w:r>
        <w:rPr>
          <w:lang w:val="en-GB"/>
        </w:rPr>
        <w:t>Misuse of</w:t>
      </w:r>
      <w:r>
        <w:rPr>
          <w:lang w:val="en-GB"/>
        </w:rPr>
        <w:t xml:space="preserve"> children for political purposes</w:t>
      </w:r>
      <w:r>
        <w:tab/>
        <w:t>13</w:t>
      </w:r>
    </w:p>
    <w:p w:rsidR="00942DF7" w:rsidRDefault="00887F79">
      <w:pPr>
        <w:tabs>
          <w:tab w:val="right" w:leader="dot" w:pos="9241"/>
        </w:tabs>
      </w:pPr>
      <w:r>
        <w:rPr>
          <w:lang w:val="en-GB"/>
        </w:rPr>
        <w:t>Protection of electoral rights</w:t>
      </w:r>
      <w:r>
        <w:tab/>
        <w:t>16</w:t>
      </w:r>
    </w:p>
    <w:p w:rsidR="00942DF7" w:rsidRDefault="00887F79">
      <w:pPr>
        <w:tabs>
          <w:tab w:val="right" w:leader="dot" w:pos="9241"/>
        </w:tabs>
      </w:pPr>
      <w:r>
        <w:rPr>
          <w:lang w:val="en-GB"/>
        </w:rPr>
        <w:t>Work of local election commissions</w:t>
      </w:r>
      <w:r>
        <w:tab/>
        <w:t>17</w:t>
      </w:r>
    </w:p>
    <w:p w:rsidR="00942DF7" w:rsidRDefault="00887F79">
      <w:pPr>
        <w:tabs>
          <w:tab w:val="right" w:leader="dot" w:pos="9241"/>
        </w:tabs>
      </w:pPr>
      <w:r>
        <w:rPr>
          <w:lang w:val="en-GB"/>
        </w:rPr>
        <w:t>Basic information on the 2026 General Elections in Bosnia and Herzegovina</w:t>
      </w:r>
      <w:r>
        <w:tab/>
        <w:t>18</w:t>
      </w:r>
    </w:p>
    <w:p w:rsidR="00942DF7" w:rsidRDefault="00887F79">
      <w:pPr>
        <w:tabs>
          <w:tab w:val="right" w:leader="dot" w:pos="9241"/>
        </w:tabs>
      </w:pPr>
      <w:r>
        <w:rPr>
          <w:lang w:val="en-GB"/>
        </w:rPr>
        <w:t xml:space="preserve">Basic information on the Coalition for Free and Fair Elections “Pod </w:t>
      </w:r>
      <w:r>
        <w:rPr>
          <w:lang w:val="en-GB"/>
        </w:rPr>
        <w:t>lupom”</w:t>
      </w:r>
      <w:r>
        <w:tab/>
        <w:t>20</w:t>
      </w:r>
    </w:p>
    <w:p w:rsidR="00942DF7" w:rsidRDefault="00887F79">
      <w:r>
        <w:rPr>
          <w:lang w:val="en-GB"/>
        </w:rPr>
        <w:br w:type="page"/>
      </w:r>
    </w:p>
    <w:p w:rsidR="00942DF7" w:rsidRDefault="00887F79">
      <w:pPr>
        <w:pStyle w:val="Heading1"/>
      </w:pPr>
      <w:r>
        <w:rPr>
          <w:lang w:val="en-GB"/>
        </w:rPr>
        <w:lastRenderedPageBreak/>
        <w:t>Summary of the Second Preliminary Report</w:t>
      </w:r>
    </w:p>
    <w:p w:rsidR="00942DF7" w:rsidRDefault="00887F79">
      <w:pPr>
        <w:pStyle w:val="Heading2"/>
        <w:spacing w:before="60" w:after="60" w:line="240" w:lineRule="auto"/>
      </w:pPr>
      <w:r>
        <w:rPr>
          <w:sz w:val="21"/>
          <w:lang w:val="en-GB"/>
        </w:rPr>
        <w:t>Observation mission</w:t>
      </w:r>
    </w:p>
    <w:p w:rsidR="00942DF7" w:rsidRDefault="00887F79">
      <w:pPr>
        <w:spacing w:before="60" w:after="60" w:line="240" w:lineRule="auto"/>
      </w:pPr>
      <w:r>
        <w:rPr>
          <w:sz w:val="21"/>
          <w:lang w:val="en-GB"/>
        </w:rPr>
        <w:t>10 project team members, 37 civil society organisations, 57 long-term observers</w:t>
      </w:r>
    </w:p>
    <w:p w:rsidR="00942DF7" w:rsidRDefault="00887F79">
      <w:pPr>
        <w:spacing w:before="60" w:after="60" w:line="240" w:lineRule="auto"/>
      </w:pPr>
      <w:r>
        <w:rPr>
          <w:sz w:val="21"/>
          <w:lang w:val="en-GB"/>
        </w:rPr>
        <w:t>1,000 election-day observers</w:t>
      </w:r>
    </w:p>
    <w:p w:rsidR="00942DF7" w:rsidRDefault="00887F79">
      <w:pPr>
        <w:pStyle w:val="Heading2"/>
        <w:spacing w:before="60" w:after="60" w:line="240" w:lineRule="auto"/>
      </w:pPr>
      <w:r>
        <w:rPr>
          <w:sz w:val="21"/>
          <w:lang w:val="en-GB"/>
        </w:rPr>
        <w:t>Brief overview of new election technologies</w:t>
      </w:r>
    </w:p>
    <w:p w:rsidR="00942DF7" w:rsidRDefault="00887F79">
      <w:pPr>
        <w:pStyle w:val="ListBullet"/>
        <w:spacing w:before="60" w:after="60" w:line="240" w:lineRule="auto"/>
      </w:pPr>
      <w:r>
        <w:rPr>
          <w:sz w:val="21"/>
          <w:lang w:val="en-GB"/>
        </w:rPr>
        <w:t>Biometric voter identification</w:t>
      </w:r>
      <w:r>
        <w:rPr>
          <w:sz w:val="21"/>
          <w:lang w:val="en-GB"/>
        </w:rPr>
        <w:t xml:space="preserve"> and ballot scanners = a historic step forward for elections in BiH</w:t>
      </w:r>
    </w:p>
    <w:p w:rsidR="00942DF7" w:rsidRDefault="00887F79">
      <w:pPr>
        <w:pStyle w:val="ListBullet"/>
        <w:spacing w:before="60" w:after="60" w:line="240" w:lineRule="auto"/>
      </w:pPr>
      <w:r>
        <w:rPr>
          <w:sz w:val="21"/>
          <w:lang w:val="en-GB"/>
        </w:rPr>
        <w:t>Ballot redesign and changes to the voting procedure = the most significant change for voters</w:t>
      </w:r>
    </w:p>
    <w:p w:rsidR="00942DF7" w:rsidRDefault="00887F79">
      <w:pPr>
        <w:pStyle w:val="ListBullet"/>
        <w:spacing w:before="60" w:after="60" w:line="240" w:lineRule="auto"/>
      </w:pPr>
      <w:r>
        <w:rPr>
          <w:sz w:val="21"/>
          <w:lang w:val="en-GB"/>
        </w:rPr>
        <w:t>Challenges: timely and comprehensive voter education; thorough, practical training for the elec</w:t>
      </w:r>
      <w:r>
        <w:rPr>
          <w:sz w:val="21"/>
          <w:lang w:val="en-GB"/>
        </w:rPr>
        <w:t>tion administration</w:t>
      </w:r>
    </w:p>
    <w:p w:rsidR="00942DF7" w:rsidRDefault="00887F79">
      <w:pPr>
        <w:pStyle w:val="Heading2"/>
        <w:spacing w:before="60" w:after="60" w:line="240" w:lineRule="auto"/>
      </w:pPr>
      <w:r>
        <w:t>Party influence ahead of election day</w:t>
      </w:r>
    </w:p>
    <w:p w:rsidR="00942DF7" w:rsidRDefault="00887F79">
      <w:pPr>
        <w:pStyle w:val="ListBullet"/>
        <w:spacing w:before="60" w:after="60" w:line="240" w:lineRule="auto"/>
      </w:pPr>
      <w:r>
        <w:rPr>
          <w:sz w:val="21"/>
          <w:lang w:val="en-GB"/>
        </w:rPr>
        <w:t>Irregularities in the formation of polling station committees (trading in committee positions and party-affiliated committee chairpersons)</w:t>
      </w:r>
    </w:p>
    <w:p w:rsidR="00942DF7" w:rsidRDefault="00887F79">
      <w:pPr>
        <w:pStyle w:val="ListBullet"/>
        <w:spacing w:before="60" w:after="60" w:line="240" w:lineRule="auto"/>
      </w:pPr>
      <w:r>
        <w:rPr>
          <w:sz w:val="21"/>
          <w:lang w:val="en-GB"/>
        </w:rPr>
        <w:t>Accreditation, or attempted accreditation, of large numbers</w:t>
      </w:r>
      <w:r>
        <w:rPr>
          <w:sz w:val="21"/>
          <w:lang w:val="en-GB"/>
        </w:rPr>
        <w:t xml:space="preserve"> of fake observers representing associations</w:t>
      </w:r>
    </w:p>
    <w:p w:rsidR="00942DF7" w:rsidRDefault="00887F79">
      <w:pPr>
        <w:pStyle w:val="ListBullet"/>
        <w:spacing w:before="60" w:after="60" w:line="240" w:lineRule="auto"/>
      </w:pPr>
      <w:r>
        <w:rPr>
          <w:sz w:val="21"/>
          <w:lang w:val="en-GB"/>
        </w:rPr>
        <w:t>Disinformation about the new technologies</w:t>
      </w:r>
    </w:p>
    <w:p w:rsidR="00942DF7" w:rsidRDefault="00887F79">
      <w:pPr>
        <w:pStyle w:val="ListBullet"/>
        <w:spacing w:before="60" w:after="60" w:line="240" w:lineRule="auto"/>
      </w:pPr>
      <w:r>
        <w:rPr>
          <w:sz w:val="21"/>
          <w:lang w:val="en-GB"/>
        </w:rPr>
        <w:t>Possible obstruction of the new technologies on election day and pressure on voters</w:t>
      </w:r>
    </w:p>
    <w:p w:rsidR="00942DF7" w:rsidRDefault="00887F79">
      <w:pPr>
        <w:pStyle w:val="Heading2"/>
        <w:spacing w:before="60" w:after="60" w:line="240" w:lineRule="auto"/>
      </w:pPr>
      <w:r>
        <w:rPr>
          <w:sz w:val="21"/>
          <w:lang w:val="en-GB"/>
        </w:rPr>
        <w:t>Electoral irregularities</w:t>
      </w:r>
    </w:p>
    <w:p w:rsidR="00942DF7" w:rsidRDefault="00887F79">
      <w:pPr>
        <w:spacing w:before="60" w:after="60" w:line="240" w:lineRule="auto"/>
      </w:pPr>
      <w:r>
        <w:rPr>
          <w:sz w:val="21"/>
          <w:lang w:val="en-GB"/>
        </w:rPr>
        <w:t xml:space="preserve">1,282 electoral irregularities recorded in total (484 cases </w:t>
      </w:r>
      <w:r>
        <w:rPr>
          <w:sz w:val="21"/>
          <w:lang w:val="en-GB"/>
        </w:rPr>
        <w:t>of misuse of public resources, 304 irregularities in the formation of polling station committees, 268 cases of premature campaigning, 60 cases of prohibited campaign activities, 59 cases of misuse of children for political purposes, 24 cases of unlawful pa</w:t>
      </w:r>
      <w:r>
        <w:rPr>
          <w:sz w:val="21"/>
          <w:lang w:val="en-GB"/>
        </w:rPr>
        <w:t>id advertising, 3 cases of pressure on voters, and 80 other electoral irregularities)</w:t>
      </w:r>
    </w:p>
    <w:p w:rsidR="00942DF7" w:rsidRDefault="00887F79">
      <w:pPr>
        <w:pStyle w:val="Heading2"/>
        <w:spacing w:before="60" w:after="60" w:line="240" w:lineRule="auto"/>
      </w:pPr>
      <w:r>
        <w:rPr>
          <w:sz w:val="21"/>
          <w:lang w:val="en-GB"/>
        </w:rPr>
        <w:t>Top five political entities by processed electoral irregularities</w:t>
      </w:r>
    </w:p>
    <w:p w:rsidR="00942DF7" w:rsidRDefault="00887F79">
      <w:pPr>
        <w:spacing w:before="60" w:after="60" w:line="240" w:lineRule="auto"/>
      </w:pPr>
      <w:r>
        <w:rPr>
          <w:sz w:val="21"/>
          <w:lang w:val="en-GB"/>
        </w:rPr>
        <w:t>102 — SNSD – Milorad Dodik</w:t>
      </w:r>
    </w:p>
    <w:p w:rsidR="00942DF7" w:rsidRDefault="00887F79">
      <w:pPr>
        <w:spacing w:before="60" w:after="60" w:line="240" w:lineRule="auto"/>
      </w:pPr>
      <w:r>
        <w:rPr>
          <w:sz w:val="21"/>
          <w:lang w:val="en-GB"/>
        </w:rPr>
        <w:t>53 — SDA</w:t>
      </w:r>
    </w:p>
    <w:p w:rsidR="00942DF7" w:rsidRDefault="00887F79">
      <w:pPr>
        <w:spacing w:before="60" w:after="60" w:line="240" w:lineRule="auto"/>
      </w:pPr>
      <w:r>
        <w:rPr>
          <w:sz w:val="21"/>
          <w:lang w:val="en-GB"/>
        </w:rPr>
        <w:t>51 — SDP</w:t>
      </w:r>
    </w:p>
    <w:p w:rsidR="00942DF7" w:rsidRDefault="00887F79">
      <w:pPr>
        <w:spacing w:before="60" w:after="60" w:line="240" w:lineRule="auto"/>
      </w:pPr>
      <w:r>
        <w:rPr>
          <w:sz w:val="21"/>
          <w:lang w:val="en-GB"/>
        </w:rPr>
        <w:t>43 — PSS</w:t>
      </w:r>
    </w:p>
    <w:p w:rsidR="00942DF7" w:rsidRDefault="00887F79">
      <w:pPr>
        <w:spacing w:before="60" w:after="60" w:line="240" w:lineRule="auto"/>
      </w:pPr>
      <w:r>
        <w:rPr>
          <w:sz w:val="21"/>
          <w:lang w:val="en-GB"/>
        </w:rPr>
        <w:t>25 — US</w:t>
      </w:r>
    </w:p>
    <w:p w:rsidR="00942DF7" w:rsidRDefault="00887F79">
      <w:pPr>
        <w:pStyle w:val="Heading2"/>
        <w:spacing w:before="60" w:after="60" w:line="240" w:lineRule="auto"/>
      </w:pPr>
      <w:r>
        <w:rPr>
          <w:sz w:val="21"/>
          <w:lang w:val="en-GB"/>
        </w:rPr>
        <w:t>Protection of electoral rights</w:t>
      </w:r>
    </w:p>
    <w:p w:rsidR="00942DF7" w:rsidRDefault="00887F79">
      <w:pPr>
        <w:spacing w:before="60" w:after="60" w:line="240" w:lineRule="auto"/>
      </w:pPr>
      <w:r>
        <w:rPr>
          <w:sz w:val="21"/>
          <w:lang w:val="en-GB"/>
        </w:rPr>
        <w:t>282 submiss</w:t>
      </w:r>
      <w:r>
        <w:rPr>
          <w:sz w:val="21"/>
          <w:lang w:val="en-GB"/>
        </w:rPr>
        <w:t>ions requesting action</w:t>
      </w:r>
    </w:p>
    <w:p w:rsidR="00942DF7" w:rsidRDefault="00887F79">
      <w:pPr>
        <w:spacing w:before="60" w:after="60" w:line="240" w:lineRule="auto"/>
      </w:pPr>
      <w:r>
        <w:rPr>
          <w:sz w:val="21"/>
          <w:lang w:val="en-GB"/>
        </w:rPr>
        <w:t>596 irregularities reported</w:t>
      </w:r>
    </w:p>
    <w:p w:rsidR="00942DF7" w:rsidRDefault="00887F79">
      <w:pPr>
        <w:spacing w:before="60" w:after="60" w:line="240" w:lineRule="auto"/>
      </w:pPr>
      <w:r>
        <w:rPr>
          <w:sz w:val="21"/>
          <w:lang w:val="en-GB"/>
        </w:rPr>
        <w:t>29 sanctions against political parties and candidates</w:t>
      </w:r>
    </w:p>
    <w:p w:rsidR="00942DF7" w:rsidRDefault="00887F79">
      <w:pPr>
        <w:spacing w:before="60" w:after="60" w:line="240" w:lineRule="auto"/>
      </w:pPr>
      <w:r>
        <w:rPr>
          <w:sz w:val="21"/>
          <w:lang w:val="en-GB"/>
        </w:rPr>
        <w:t>BAM 286,000 in sanctions imposed following reports by the “Pod lupom” Coalition</w:t>
      </w:r>
    </w:p>
    <w:p w:rsidR="00942DF7" w:rsidRDefault="00887F79">
      <w:r>
        <w:rPr>
          <w:lang w:val="en-GB"/>
        </w:rPr>
        <w:br w:type="page"/>
      </w:r>
    </w:p>
    <w:p w:rsidR="00942DF7" w:rsidRDefault="00887F79">
      <w:pPr>
        <w:pStyle w:val="Heading1"/>
      </w:pPr>
      <w:r>
        <w:rPr>
          <w:lang w:val="en-GB"/>
        </w:rPr>
        <w:lastRenderedPageBreak/>
        <w:t xml:space="preserve">The “Pod lupom” Coalition observation mission for the 2026 General </w:t>
      </w:r>
      <w:r>
        <w:rPr>
          <w:lang w:val="en-GB"/>
        </w:rPr>
        <w:t>Elections</w:t>
      </w:r>
    </w:p>
    <w:p w:rsidR="00942DF7" w:rsidRDefault="00887F79">
      <w:r>
        <w:rPr>
          <w:lang w:val="en-GB"/>
        </w:rPr>
        <w:t>The Coalition for Free and Fair Elections “Pod lupom” is conducting a citizen, non-partisan election observation mission for the 2026 General Elections, contributing to a more transparent and accountable electoral process in Bosnia and Herzegovin</w:t>
      </w:r>
      <w:r>
        <w:rPr>
          <w:lang w:val="en-GB"/>
        </w:rPr>
        <w:t>a.</w:t>
      </w:r>
    </w:p>
    <w:p w:rsidR="00942DF7" w:rsidRDefault="00887F79">
      <w:r>
        <w:rPr>
          <w:lang w:val="en-GB"/>
        </w:rPr>
        <w:t>This is a particularly important component of the electoral process, as non-partisan election observation helps restore citizens’ trust in elections and makes a significant contribution to preventing electoral irregularities.</w:t>
      </w:r>
    </w:p>
    <w:p w:rsidR="00942DF7" w:rsidRDefault="00887F79">
      <w:r>
        <w:rPr>
          <w:lang w:val="en-GB"/>
        </w:rPr>
        <w:t>The mission for the 2026 Ge</w:t>
      </w:r>
      <w:r>
        <w:rPr>
          <w:lang w:val="en-GB"/>
        </w:rPr>
        <w:t>neral Elections involves 10 project team members, 37 member organisations of the “Pod lupom” Coalition, 57 electoral process observers — including 15 long-term observers (LTOs) monitoring and reporting electoral irregularities and 42 recruiters and trainer</w:t>
      </w:r>
      <w:r>
        <w:rPr>
          <w:lang w:val="en-GB"/>
        </w:rPr>
        <w:t>s of election-day observers (STOs) — and 1,000 election-day observers who will be deployed to polling stations across the country.</w:t>
      </w:r>
    </w:p>
    <w:p w:rsidR="00942DF7" w:rsidRDefault="00887F79">
      <w:r>
        <w:rPr>
          <w:lang w:val="en-GB"/>
        </w:rPr>
        <w:t>The observation mission for the 2026 General Elections is supported by the Ministry of Foreign Affairs of the Kingdom of Denm</w:t>
      </w:r>
      <w:r>
        <w:rPr>
          <w:lang w:val="en-GB"/>
        </w:rPr>
        <w:t>ark.</w:t>
      </w:r>
    </w:p>
    <w:tbl>
      <w:tblPr>
        <w:tblW w:w="0" w:type="auto"/>
        <w:tblLayout w:type="fixed"/>
        <w:tblLook w:val="04A0" w:firstRow="1" w:lastRow="0" w:firstColumn="1" w:lastColumn="0" w:noHBand="0" w:noVBand="1"/>
      </w:tblPr>
      <w:tblGrid>
        <w:gridCol w:w="7654"/>
        <w:gridCol w:w="1757"/>
      </w:tblGrid>
      <w:tr w:rsidR="00942DF7">
        <w:trPr>
          <w:cantSplit/>
          <w:tblHeader/>
        </w:trPr>
        <w:tc>
          <w:tcPr>
            <w:tcW w:w="7654"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942DF7" w:rsidRDefault="00887F79">
            <w:pPr>
              <w:spacing w:before="40" w:after="40" w:line="240" w:lineRule="auto"/>
            </w:pPr>
            <w:r>
              <w:rPr>
                <w:b/>
                <w:color w:val="FFFFFF"/>
                <w:sz w:val="20"/>
              </w:rPr>
              <w:t>Observation mission</w:t>
            </w:r>
          </w:p>
        </w:tc>
        <w:tc>
          <w:tcPr>
            <w:tcW w:w="1757"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942DF7" w:rsidRDefault="00887F79">
            <w:pPr>
              <w:spacing w:before="40" w:after="40" w:line="240" w:lineRule="auto"/>
            </w:pPr>
            <w:r>
              <w:rPr>
                <w:b/>
                <w:color w:val="FFFFFF"/>
                <w:sz w:val="20"/>
              </w:rPr>
              <w:t>Number</w:t>
            </w:r>
          </w:p>
        </w:tc>
      </w:tr>
      <w:tr w:rsidR="00942DF7">
        <w:trPr>
          <w:cantSplit/>
        </w:trPr>
        <w:tc>
          <w:tcPr>
            <w:tcW w:w="7654"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Project team members</w:t>
            </w:r>
          </w:p>
        </w:tc>
        <w:tc>
          <w:tcPr>
            <w:tcW w:w="1757"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10</w:t>
            </w:r>
          </w:p>
        </w:tc>
      </w:tr>
      <w:tr w:rsidR="00942DF7">
        <w:trPr>
          <w:cantSplit/>
        </w:trPr>
        <w:tc>
          <w:tcPr>
            <w:tcW w:w="7654"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Civil society organisations</w:t>
            </w:r>
          </w:p>
        </w:tc>
        <w:tc>
          <w:tcPr>
            <w:tcW w:w="1757"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37</w:t>
            </w:r>
          </w:p>
        </w:tc>
      </w:tr>
      <w:tr w:rsidR="00942DF7">
        <w:trPr>
          <w:cantSplit/>
        </w:trPr>
        <w:tc>
          <w:tcPr>
            <w:tcW w:w="7654"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Long-term observers</w:t>
            </w:r>
          </w:p>
        </w:tc>
        <w:tc>
          <w:tcPr>
            <w:tcW w:w="1757"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57</w:t>
            </w:r>
          </w:p>
        </w:tc>
      </w:tr>
      <w:tr w:rsidR="00942DF7">
        <w:trPr>
          <w:cantSplit/>
        </w:trPr>
        <w:tc>
          <w:tcPr>
            <w:tcW w:w="7654"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Election-day observers</w:t>
            </w:r>
          </w:p>
        </w:tc>
        <w:tc>
          <w:tcPr>
            <w:tcW w:w="1757"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1,000</w:t>
            </w:r>
          </w:p>
        </w:tc>
      </w:tr>
    </w:tbl>
    <w:p w:rsidR="00942DF7" w:rsidRDefault="00942DF7">
      <w:pPr>
        <w:spacing w:after="0"/>
      </w:pPr>
    </w:p>
    <w:p w:rsidR="00942DF7" w:rsidRDefault="00887F79">
      <w:r>
        <w:rPr>
          <w:lang w:val="en-GB"/>
        </w:rPr>
        <w:br w:type="page"/>
      </w:r>
    </w:p>
    <w:p w:rsidR="00942DF7" w:rsidRDefault="00887F79">
      <w:pPr>
        <w:pStyle w:val="Heading1"/>
      </w:pPr>
      <w:r>
        <w:rPr>
          <w:lang w:val="en-GB"/>
        </w:rPr>
        <w:lastRenderedPageBreak/>
        <w:t>Brief overview of new election technologies and key observations</w:t>
      </w:r>
    </w:p>
    <w:p w:rsidR="00942DF7" w:rsidRDefault="00887F79">
      <w:pPr>
        <w:pStyle w:val="Heading2"/>
      </w:pPr>
      <w:r>
        <w:rPr>
          <w:lang w:val="en-GB"/>
        </w:rPr>
        <w:t xml:space="preserve">General information on the new election </w:t>
      </w:r>
      <w:r>
        <w:rPr>
          <w:lang w:val="en-GB"/>
        </w:rPr>
        <w:t>technologies</w:t>
      </w:r>
    </w:p>
    <w:p w:rsidR="00942DF7" w:rsidRDefault="00887F79">
      <w:pPr>
        <w:spacing w:after="100" w:line="247" w:lineRule="auto"/>
      </w:pPr>
      <w:r>
        <w:rPr>
          <w:noProof/>
        </w:rPr>
        <w:drawing>
          <wp:inline distT="0" distB="0" distL="0" distR="0">
            <wp:extent cx="2160000" cy="154636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ond_tech1.png"/>
                    <pic:cNvPicPr/>
                  </pic:nvPicPr>
                  <pic:blipFill>
                    <a:blip r:embed="rId10"/>
                    <a:stretch>
                      <a:fillRect/>
                    </a:stretch>
                  </pic:blipFill>
                  <pic:spPr>
                    <a:xfrm>
                      <a:off x="0" y="0"/>
                      <a:ext cx="2160000" cy="1546364"/>
                    </a:xfrm>
                    <a:prstGeom prst="rect">
                      <a:avLst/>
                    </a:prstGeom>
                  </pic:spPr>
                </pic:pic>
              </a:graphicData>
            </a:graphic>
          </wp:inline>
        </w:drawing>
      </w:r>
      <w:r>
        <w:rPr>
          <w:lang w:val="en-GB"/>
        </w:rPr>
        <w:t xml:space="preserve">  </w:t>
      </w:r>
      <w:r>
        <w:rPr>
          <w:noProof/>
        </w:rPr>
        <w:drawing>
          <wp:inline distT="0" distB="0" distL="0" distR="0">
            <wp:extent cx="2160000" cy="146322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ond_tech2.png"/>
                    <pic:cNvPicPr/>
                  </pic:nvPicPr>
                  <pic:blipFill>
                    <a:blip r:embed="rId11"/>
                    <a:stretch>
                      <a:fillRect/>
                    </a:stretch>
                  </pic:blipFill>
                  <pic:spPr>
                    <a:xfrm>
                      <a:off x="0" y="0"/>
                      <a:ext cx="2160000" cy="1463226"/>
                    </a:xfrm>
                    <a:prstGeom prst="rect">
                      <a:avLst/>
                    </a:prstGeom>
                  </pic:spPr>
                </pic:pic>
              </a:graphicData>
            </a:graphic>
          </wp:inline>
        </w:drawing>
      </w:r>
    </w:p>
    <w:p w:rsidR="00942DF7" w:rsidRDefault="00887F79">
      <w:pPr>
        <w:pStyle w:val="Caption"/>
        <w:spacing w:after="100" w:line="247" w:lineRule="auto"/>
      </w:pPr>
      <w:r>
        <w:rPr>
          <w:lang w:val="en-GB"/>
        </w:rPr>
        <w:t>Biometric voter identification and authentication                       Ballot scanners</w:t>
      </w:r>
    </w:p>
    <w:p w:rsidR="00942DF7" w:rsidRDefault="00887F79">
      <w:pPr>
        <w:spacing w:after="100" w:line="247" w:lineRule="auto"/>
      </w:pPr>
      <w:r>
        <w:rPr>
          <w:lang w:val="en-GB"/>
        </w:rPr>
        <w:t xml:space="preserve">The 2026 General Elections mark a significant turning point in the electoral process in Bosnia and Herzegovina, primarily through the introduction of </w:t>
      </w:r>
      <w:r>
        <w:rPr>
          <w:lang w:val="en-GB"/>
        </w:rPr>
        <w:t>biometric voter identification and authentication and ballot scanners. These are reform measures whose introduction the “Pod lupom” Coalition has consistently advocated, recognising their potential to strengthen electoral integrity, completely eliminate ce</w:t>
      </w:r>
      <w:r>
        <w:rPr>
          <w:lang w:val="en-GB"/>
        </w:rPr>
        <w:t>rtain forms of electoral irregularity and increase citizens’ trust in the electoral process.</w:t>
      </w:r>
    </w:p>
    <w:p w:rsidR="00942DF7" w:rsidRDefault="00887F79">
      <w:pPr>
        <w:spacing w:after="100" w:line="247" w:lineRule="auto"/>
      </w:pPr>
      <w:r>
        <w:rPr>
          <w:lang w:val="en-GB"/>
        </w:rPr>
        <w:t>Biometric voter identification and authentication prevent electoral irregularities such as voting on behalf of another person (for example, deceased persons on the</w:t>
      </w:r>
      <w:r>
        <w:rPr>
          <w:lang w:val="en-GB"/>
        </w:rPr>
        <w:t xml:space="preserve"> voter register or voters who have not turned out), voting more than once, and identity misuse after polling stations close, namely the subsequent filling in of ballot papers. In addition, biometric voter identification will enable precise and accurate mon</w:t>
      </w:r>
      <w:r>
        <w:rPr>
          <w:lang w:val="en-GB"/>
        </w:rPr>
        <w:t>itoring of turnout in real time.</w:t>
      </w:r>
    </w:p>
    <w:p w:rsidR="00942DF7" w:rsidRDefault="00887F79">
      <w:pPr>
        <w:spacing w:after="100" w:line="247" w:lineRule="auto"/>
      </w:pPr>
      <w:r>
        <w:rPr>
          <w:lang w:val="en-GB"/>
        </w:rPr>
        <w:t>Ballot scanners prevent electoral irregularities such as adding votes or preferences for candidates on party lists; invalidating votes for political opponents by turning valid ballots into invalid ones; and misusing blank b</w:t>
      </w:r>
      <w:r>
        <w:rPr>
          <w:lang w:val="en-GB"/>
        </w:rPr>
        <w:t>allot papers after polling stations close. They also prevent counting errors caused by human factors. Additional benefits are that scanners count every vote accurately and quickly, allowing accurate preliminary election results to become available very soo</w:t>
      </w:r>
      <w:r>
        <w:rPr>
          <w:lang w:val="en-GB"/>
        </w:rPr>
        <w:t>n after polling stations close.</w:t>
      </w:r>
    </w:p>
    <w:p w:rsidR="00942DF7" w:rsidRDefault="00887F79">
      <w:pPr>
        <w:spacing w:after="100" w:line="247" w:lineRule="auto"/>
      </w:pPr>
      <w:r>
        <w:rPr>
          <w:lang w:val="en-GB"/>
        </w:rPr>
        <w:t>New election technologies also enable results to be transmitted directly from polling stations. This means that electoral irregularities such as opening bags during the transport of election materials and manipulating ballot</w:t>
      </w:r>
      <w:r>
        <w:rPr>
          <w:lang w:val="en-GB"/>
        </w:rPr>
        <w:t xml:space="preserve"> papers and election results will be eliminated, as will manipulation during the entry of results at municipal and city election commission premises.</w:t>
      </w:r>
    </w:p>
    <w:p w:rsidR="00942DF7" w:rsidRDefault="00887F79">
      <w:pPr>
        <w:pStyle w:val="Heading2"/>
      </w:pPr>
      <w:r>
        <w:rPr>
          <w:lang w:val="en-GB"/>
        </w:rPr>
        <w:t>Voter education</w:t>
      </w:r>
    </w:p>
    <w:p w:rsidR="00942DF7" w:rsidRDefault="00887F79">
      <w:pPr>
        <w:spacing w:after="100" w:line="247" w:lineRule="auto"/>
      </w:pPr>
      <w:r>
        <w:rPr>
          <w:lang w:val="en-GB"/>
        </w:rPr>
        <w:t xml:space="preserve">It is important to emphasise that the introduction of new election technologies has faced </w:t>
      </w:r>
      <w:r>
        <w:rPr>
          <w:lang w:val="en-GB"/>
        </w:rPr>
        <w:t>challenges. There was prolonged obstruction of the establishment of the necessary legal framework, as well as delays in securing funding. Deliberate obstruction of public procurement further slowed implementation, ultimately delaying numerous important pro</w:t>
      </w:r>
      <w:r>
        <w:rPr>
          <w:lang w:val="en-GB"/>
        </w:rPr>
        <w:t>cesses.</w:t>
      </w:r>
    </w:p>
    <w:p w:rsidR="00942DF7" w:rsidRDefault="00887F79">
      <w:pPr>
        <w:spacing w:after="100" w:line="247" w:lineRule="auto"/>
      </w:pPr>
      <w:r>
        <w:rPr>
          <w:lang w:val="en-GB"/>
        </w:rPr>
        <w:t xml:space="preserve">The late completion of certain stages left limited time for comprehensive voter preparation and education. This is particularly significant because, in the forthcoming elections, citizens will encounter a new identification procedure and </w:t>
      </w:r>
      <w:r>
        <w:rPr>
          <w:lang w:val="en-GB"/>
        </w:rPr>
        <w:t>ballot-scanning technology for the first time, alongside changes to voting procedures that require additional explanation. The most significant challenge during the reporting period was the relatively late start of systematic voter education.</w:t>
      </w:r>
    </w:p>
    <w:p w:rsidR="00942DF7" w:rsidRDefault="00887F79">
      <w:pPr>
        <w:spacing w:after="100" w:line="247" w:lineRule="auto"/>
      </w:pPr>
      <w:r>
        <w:rPr>
          <w:lang w:val="en-GB"/>
        </w:rPr>
        <w:t>The introduct</w:t>
      </w:r>
      <w:r>
        <w:rPr>
          <w:lang w:val="en-GB"/>
        </w:rPr>
        <w:t>ion of biometric identification and scanners is a historic step in modernising the electoral process in BiH. However, technological progress must be accompanied by adequate institutional preparation and, particularly, timely and comprehensive public educat</w:t>
      </w:r>
      <w:r>
        <w:rPr>
          <w:lang w:val="en-GB"/>
        </w:rPr>
        <w:t>ion, which has been lacking.</w:t>
      </w:r>
    </w:p>
    <w:p w:rsidR="00942DF7" w:rsidRDefault="00887F79">
      <w:pPr>
        <w:pStyle w:val="Heading2"/>
      </w:pPr>
      <w:r>
        <w:rPr>
          <w:lang w:val="en-GB"/>
        </w:rPr>
        <w:lastRenderedPageBreak/>
        <w:t>Training for the election administration</w:t>
      </w:r>
    </w:p>
    <w:p w:rsidR="00942DF7" w:rsidRDefault="00887F79">
      <w:pPr>
        <w:spacing w:after="100" w:line="247" w:lineRule="auto"/>
      </w:pPr>
      <w:r>
        <w:rPr>
          <w:lang w:val="en-GB"/>
        </w:rPr>
        <w:t>In its First Preliminary Report, published on 4 September, the “Pod lupom” Coalition warned of the urgent need to intensify and improve training for the election administration to ensure</w:t>
      </w:r>
      <w:r>
        <w:rPr>
          <w:lang w:val="en-GB"/>
        </w:rPr>
        <w:t xml:space="preserve"> the successful implementation of biometric voter identification and ballot scanners on election day. However, challenges in training the election administration continued beyond that period.</w:t>
      </w:r>
    </w:p>
    <w:p w:rsidR="00942DF7" w:rsidRDefault="00887F79">
      <w:pPr>
        <w:spacing w:after="100" w:line="247" w:lineRule="auto"/>
      </w:pPr>
      <w:r>
        <w:rPr>
          <w:lang w:val="en-GB"/>
        </w:rPr>
        <w:t>The introduction of new election technologies is one of the most</w:t>
      </w:r>
      <w:r>
        <w:rPr>
          <w:lang w:val="en-GB"/>
        </w:rPr>
        <w:t xml:space="preserve"> significant improvements in election administration in BiH. However, the success of this reform will depend not only on whether the devices are delivered to polling stations, but also on whether the people using them are sufficiently trained to operate th</w:t>
      </w:r>
      <w:r>
        <w:rPr>
          <w:lang w:val="en-GB"/>
        </w:rPr>
        <w:t>em correctly under actual election-day conditions.</w:t>
      </w:r>
    </w:p>
    <w:p w:rsidR="00942DF7" w:rsidRDefault="00887F79">
      <w:pPr>
        <w:spacing w:after="100" w:line="247" w:lineRule="auto"/>
      </w:pPr>
      <w:r>
        <w:rPr>
          <w:lang w:val="en-GB"/>
        </w:rPr>
        <w:t>The Coalition’s findings indicated that a significant number of election commissions, polling station committees and operators were still not sufficiently prepared to conduct elections using the new techno</w:t>
      </w:r>
      <w:r>
        <w:rPr>
          <w:lang w:val="en-GB"/>
        </w:rPr>
        <w:t xml:space="preserve">logies. A particular problem is that initial training was predominantly theoretical and lacked practical exercises. In some areas, the election administration had still not had an opportunity to familiarise itself directly with the equipment it would use, </w:t>
      </w:r>
      <w:r>
        <w:rPr>
          <w:lang w:val="en-GB"/>
        </w:rPr>
        <w:t>or training was still ongoing, even though the electoral calendar set 24 September 2026 as the deadline for completing polling station committee training.</w:t>
      </w:r>
    </w:p>
    <w:p w:rsidR="00942DF7" w:rsidRDefault="00887F79">
      <w:pPr>
        <w:spacing w:after="100" w:line="247" w:lineRule="auto"/>
      </w:pPr>
      <w:r>
        <w:rPr>
          <w:lang w:val="en-GB"/>
        </w:rPr>
        <w:t>Although it is clear that training for the election administration began very late because of numerou</w:t>
      </w:r>
      <w:r>
        <w:rPr>
          <w:lang w:val="en-GB"/>
        </w:rPr>
        <w:t>s obstructions to the implementation of the new technologies, there is now also a degree of institutional and systemic slowness in the training itself, which should have been better planned and intensified.</w:t>
      </w:r>
    </w:p>
    <w:p w:rsidR="00942DF7" w:rsidRDefault="00887F79">
      <w:pPr>
        <w:spacing w:after="100" w:line="247" w:lineRule="auto"/>
      </w:pPr>
      <w:r>
        <w:rPr>
          <w:lang w:val="en-GB"/>
        </w:rPr>
        <w:t>“Pod lupom” once again stresses that institutiona</w:t>
      </w:r>
      <w:r>
        <w:rPr>
          <w:lang w:val="en-GB"/>
        </w:rPr>
        <w:t>l slowness must not be allowed to jeopardise a multimillion project intended to free election day from proven electoral theft and fraud, finally strengthen electoral integrity in BiH and restore citizens’ trust in elections.</w:t>
      </w:r>
    </w:p>
    <w:p w:rsidR="00942DF7" w:rsidRDefault="00887F79">
      <w:pPr>
        <w:spacing w:after="100" w:line="247" w:lineRule="auto"/>
      </w:pPr>
      <w:r>
        <w:rPr>
          <w:lang w:val="en-GB"/>
        </w:rPr>
        <w:t>Shortcomings in preparation wil</w:t>
      </w:r>
      <w:r>
        <w:rPr>
          <w:lang w:val="en-GB"/>
        </w:rPr>
        <w:t xml:space="preserve">l first become apparent at polling stations. Insufficiently trained election administrators may lead to slower voting, queues, additional questions and uncertainty among voters, incorrect application of procedures, or unnecessarily prolonged interruptions </w:t>
      </w:r>
      <w:r>
        <w:rPr>
          <w:lang w:val="en-GB"/>
        </w:rPr>
        <w:t>in the event of technical problems. Even when the devices function correctly, inadequate preparation of the people operating them may produce the same consequences, which citizens perceive as a problem with the technology itself.</w:t>
      </w:r>
    </w:p>
    <w:p w:rsidR="00942DF7" w:rsidRDefault="00887F79">
      <w:pPr>
        <w:pStyle w:val="Heading2"/>
      </w:pPr>
      <w:r>
        <w:rPr>
          <w:lang w:val="en-GB"/>
        </w:rPr>
        <w:t>Disinformation</w:t>
      </w:r>
    </w:p>
    <w:p w:rsidR="00942DF7" w:rsidRDefault="00887F79">
      <w:pPr>
        <w:spacing w:after="100" w:line="247" w:lineRule="auto"/>
      </w:pPr>
      <w:r>
        <w:rPr>
          <w:lang w:val="en-GB"/>
        </w:rPr>
        <w:t>The introdu</w:t>
      </w:r>
      <w:r>
        <w:rPr>
          <w:lang w:val="en-GB"/>
        </w:rPr>
        <w:t>ction of new election technologies has also been accompanied by an increased presence of disinformation and inaccurate or misleading claims in public discourse. As citizens are encountering biometric identification and ballot scanners for the first time, t</w:t>
      </w:r>
      <w:r>
        <w:rPr>
          <w:lang w:val="en-GB"/>
        </w:rPr>
        <w:t>he spread of inaccurate information may further increase uncertainty and distrust of the new procedures. A particular risk is that some claims are presented as facts despite lacking relevant evidence, potentially creating unnecessary fear among citizens ab</w:t>
      </w:r>
      <w:r>
        <w:rPr>
          <w:lang w:val="en-GB"/>
        </w:rPr>
        <w:t>out voting and the new technologies.</w:t>
      </w:r>
    </w:p>
    <w:p w:rsidR="00942DF7" w:rsidRDefault="00887F79">
      <w:pPr>
        <w:spacing w:after="100" w:line="247" w:lineRule="auto"/>
      </w:pPr>
      <w:r>
        <w:rPr>
          <w:lang w:val="en-GB"/>
        </w:rPr>
        <w:t>Claims circulating publicly include assertions that such technologies are allegedly not used anywhere in the world; that they represent foreign interference in the electoral process; that the entire system will become i</w:t>
      </w:r>
      <w:r>
        <w:rPr>
          <w:lang w:val="en-GB"/>
        </w:rPr>
        <w:t>noperative in the event of a power outage; that the technologies are unsafe; that older voters will be unable to vote; that their use is not in the interests of certain constituent peoples; or that it will be possible to identify how an individual voter vo</w:t>
      </w:r>
      <w:r>
        <w:rPr>
          <w:lang w:val="en-GB"/>
        </w:rPr>
        <w:t>ted.</w:t>
      </w:r>
    </w:p>
    <w:p w:rsidR="00942DF7" w:rsidRDefault="00887F79">
      <w:pPr>
        <w:spacing w:after="100" w:line="247" w:lineRule="auto"/>
      </w:pPr>
      <w:r>
        <w:rPr>
          <w:lang w:val="en-GB"/>
        </w:rPr>
        <w:t>It is particularly important to emphasise that the introduction of new technologies does not compromise ballot secrecy. Citizens should not fear that biometric identification or scanners will make it possible to link their identity to the choice marke</w:t>
      </w:r>
      <w:r>
        <w:rPr>
          <w:lang w:val="en-GB"/>
        </w:rPr>
        <w:t>d on their ballot. Voter education should therefore include a strong information component explaining both what the new technologies do and what they do not do, to reduce the scope for spreading fear and distrust.</w:t>
      </w:r>
    </w:p>
    <w:p w:rsidR="00942DF7" w:rsidRDefault="00887F79">
      <w:pPr>
        <w:spacing w:after="100" w:line="247" w:lineRule="auto"/>
      </w:pPr>
      <w:r>
        <w:rPr>
          <w:lang w:val="en-GB"/>
        </w:rPr>
        <w:br w:type="page"/>
      </w:r>
    </w:p>
    <w:p w:rsidR="00942DF7" w:rsidRDefault="00887F79">
      <w:pPr>
        <w:pStyle w:val="Heading1"/>
      </w:pPr>
      <w:r>
        <w:rPr>
          <w:lang w:val="en-GB"/>
        </w:rPr>
        <w:lastRenderedPageBreak/>
        <w:t>Electoral irregularities in the pre-elec</w:t>
      </w:r>
      <w:r>
        <w:rPr>
          <w:lang w:val="en-GB"/>
        </w:rPr>
        <w:t>tion period</w:t>
      </w:r>
    </w:p>
    <w:p w:rsidR="00942DF7" w:rsidRDefault="00887F79">
      <w:r>
        <w:rPr>
          <w:lang w:val="en-GB"/>
        </w:rPr>
        <w:t>Since the observation mission began on 27 July 2026, the “Pod lupom” Coalition has recorded a total of 1,282 electoral irregularities.</w:t>
      </w:r>
    </w:p>
    <w:p w:rsidR="00942DF7" w:rsidRDefault="00887F79">
      <w:r>
        <w:rPr>
          <w:lang w:val="en-GB"/>
        </w:rPr>
        <w:t>The largest numbers of electoral irregularities concern misuse of public resources (484 cases), irregularitie</w:t>
      </w:r>
      <w:r>
        <w:rPr>
          <w:lang w:val="en-GB"/>
        </w:rPr>
        <w:t>s in the formation of polling station committees (304), premature campaigning (268), prohibited campaign activities (60), misuse of children for political purposes (59), unlawful paid advertising (24), pressure on voters (3), and other electoral irregulari</w:t>
      </w:r>
      <w:r>
        <w:rPr>
          <w:lang w:val="en-GB"/>
        </w:rPr>
        <w:t>ties (80).</w:t>
      </w:r>
    </w:p>
    <w:tbl>
      <w:tblPr>
        <w:tblW w:w="0" w:type="auto"/>
        <w:tblLayout w:type="fixed"/>
        <w:tblLook w:val="04A0" w:firstRow="1" w:lastRow="0" w:firstColumn="1" w:lastColumn="0" w:noHBand="0" w:noVBand="1"/>
      </w:tblPr>
      <w:tblGrid>
        <w:gridCol w:w="6690"/>
        <w:gridCol w:w="1361"/>
        <w:gridCol w:w="1361"/>
      </w:tblGrid>
      <w:tr w:rsidR="00942DF7">
        <w:trPr>
          <w:cantSplit/>
          <w:tblHeader/>
        </w:trPr>
        <w:tc>
          <w:tcPr>
            <w:tcW w:w="6690"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942DF7" w:rsidRDefault="00887F79">
            <w:pPr>
              <w:spacing w:before="40" w:after="40" w:line="240" w:lineRule="auto"/>
            </w:pPr>
            <w:r>
              <w:rPr>
                <w:b/>
                <w:color w:val="FFFFFF"/>
                <w:sz w:val="20"/>
              </w:rPr>
              <w:t>Recorded electoral irregularities</w:t>
            </w:r>
          </w:p>
        </w:tc>
        <w:tc>
          <w:tcPr>
            <w:tcW w:w="1361"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942DF7" w:rsidRDefault="00887F79">
            <w:pPr>
              <w:spacing w:before="40" w:after="40" w:line="240" w:lineRule="auto"/>
            </w:pPr>
            <w:r>
              <w:rPr>
                <w:b/>
                <w:color w:val="FFFFFF"/>
                <w:sz w:val="20"/>
              </w:rPr>
              <w:t>Cases</w:t>
            </w:r>
          </w:p>
        </w:tc>
        <w:tc>
          <w:tcPr>
            <w:tcW w:w="1361"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942DF7" w:rsidRDefault="00887F79">
            <w:pPr>
              <w:spacing w:before="40" w:after="40" w:line="240" w:lineRule="auto"/>
            </w:pPr>
            <w:r>
              <w:rPr>
                <w:b/>
                <w:color w:val="FFFFFF"/>
                <w:sz w:val="20"/>
              </w:rPr>
              <w:t>Share</w:t>
            </w:r>
          </w:p>
        </w:tc>
      </w:tr>
      <w:tr w:rsidR="00942DF7">
        <w:trPr>
          <w:cantSplit/>
        </w:trPr>
        <w:tc>
          <w:tcPr>
            <w:tcW w:w="6690"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Misuse of public resources</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484</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37.75%</w:t>
            </w:r>
          </w:p>
        </w:tc>
      </w:tr>
      <w:tr w:rsidR="00942DF7">
        <w:trPr>
          <w:cantSplit/>
        </w:trPr>
        <w:tc>
          <w:tcPr>
            <w:tcW w:w="669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Irregularities in the formation of polling station committees</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304</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23.71%</w:t>
            </w:r>
          </w:p>
        </w:tc>
      </w:tr>
      <w:tr w:rsidR="00942DF7">
        <w:trPr>
          <w:cantSplit/>
        </w:trPr>
        <w:tc>
          <w:tcPr>
            <w:tcW w:w="6690"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Premature campaigning</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268</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20.9%</w:t>
            </w:r>
          </w:p>
        </w:tc>
      </w:tr>
      <w:tr w:rsidR="00942DF7">
        <w:trPr>
          <w:cantSplit/>
        </w:trPr>
        <w:tc>
          <w:tcPr>
            <w:tcW w:w="669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Other irregularities</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80</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6.24%</w:t>
            </w:r>
          </w:p>
        </w:tc>
      </w:tr>
      <w:tr w:rsidR="00942DF7">
        <w:trPr>
          <w:cantSplit/>
        </w:trPr>
        <w:tc>
          <w:tcPr>
            <w:tcW w:w="6690"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 xml:space="preserve">Prohibited campaign </w:t>
            </w:r>
            <w:r>
              <w:rPr>
                <w:sz w:val="20"/>
              </w:rPr>
              <w:t>activities</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60</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4.68%</w:t>
            </w:r>
          </w:p>
        </w:tc>
      </w:tr>
      <w:tr w:rsidR="00942DF7">
        <w:trPr>
          <w:cantSplit/>
        </w:trPr>
        <w:tc>
          <w:tcPr>
            <w:tcW w:w="669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Misuse of children for political purposes</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59</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4.6%</w:t>
            </w:r>
          </w:p>
        </w:tc>
      </w:tr>
      <w:tr w:rsidR="00942DF7">
        <w:trPr>
          <w:cantSplit/>
        </w:trPr>
        <w:tc>
          <w:tcPr>
            <w:tcW w:w="6690"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Unlawful paid advertising</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24</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1.87%</w:t>
            </w:r>
          </w:p>
        </w:tc>
      </w:tr>
      <w:tr w:rsidR="00942DF7">
        <w:trPr>
          <w:cantSplit/>
        </w:trPr>
        <w:tc>
          <w:tcPr>
            <w:tcW w:w="669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Pressure on voters</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3</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0.23%</w:t>
            </w:r>
          </w:p>
        </w:tc>
      </w:tr>
      <w:tr w:rsidR="00942DF7">
        <w:trPr>
          <w:cantSplit/>
        </w:trPr>
        <w:tc>
          <w:tcPr>
            <w:tcW w:w="6690"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Total</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1,282</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942DF7">
            <w:pPr>
              <w:spacing w:before="40" w:after="40" w:line="240" w:lineRule="auto"/>
            </w:pPr>
          </w:p>
        </w:tc>
      </w:tr>
    </w:tbl>
    <w:p w:rsidR="00942DF7" w:rsidRDefault="00942DF7">
      <w:pPr>
        <w:spacing w:after="0"/>
      </w:pPr>
    </w:p>
    <w:p w:rsidR="00942DF7" w:rsidRDefault="00887F79">
      <w:r>
        <w:rPr>
          <w:lang w:val="en-GB"/>
        </w:rPr>
        <w:t>Of these, the “Pod lupom” Coalition has so far processed and reported 596 electoral irregularities.</w:t>
      </w:r>
    </w:p>
    <w:p w:rsidR="00942DF7" w:rsidRDefault="00887F79">
      <w:r>
        <w:rPr>
          <w:lang w:val="en-GB"/>
        </w:rPr>
        <w:t xml:space="preserve">The </w:t>
      </w:r>
      <w:r>
        <w:rPr>
          <w:lang w:val="en-GB"/>
        </w:rPr>
        <w:t>top five political entities by number of reported irregularities are SNSD – Milorad Dodik (18.2%), SDA (10.2%), PSS/PDP (10.0%), SDP (9.1%) and SDS (4.8%). These five political entities account for more than half of all recorded irregularities (52.3%).</w:t>
      </w:r>
    </w:p>
    <w:tbl>
      <w:tblPr>
        <w:tblW w:w="0" w:type="auto"/>
        <w:tblLayout w:type="fixed"/>
        <w:tblLook w:val="04A0" w:firstRow="1" w:lastRow="0" w:firstColumn="1" w:lastColumn="0" w:noHBand="0" w:noVBand="1"/>
      </w:tblPr>
      <w:tblGrid>
        <w:gridCol w:w="7427"/>
        <w:gridCol w:w="1984"/>
      </w:tblGrid>
      <w:tr w:rsidR="00942DF7">
        <w:trPr>
          <w:cantSplit/>
          <w:tblHeader/>
        </w:trPr>
        <w:tc>
          <w:tcPr>
            <w:tcW w:w="7427"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942DF7" w:rsidRDefault="00887F79">
            <w:pPr>
              <w:spacing w:before="40" w:after="40" w:line="240" w:lineRule="auto"/>
            </w:pPr>
            <w:r>
              <w:rPr>
                <w:b/>
                <w:color w:val="FFFFFF"/>
                <w:sz w:val="20"/>
              </w:rPr>
              <w:t>Rep</w:t>
            </w:r>
            <w:r>
              <w:rPr>
                <w:b/>
                <w:color w:val="FFFFFF"/>
                <w:sz w:val="20"/>
              </w:rPr>
              <w:t>orted irregularities by political entity Top five</w:t>
            </w:r>
          </w:p>
        </w:tc>
        <w:tc>
          <w:tcPr>
            <w:tcW w:w="1984"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942DF7" w:rsidRDefault="00887F79">
            <w:pPr>
              <w:spacing w:before="40" w:after="40" w:line="240" w:lineRule="auto"/>
            </w:pPr>
            <w:r>
              <w:rPr>
                <w:b/>
                <w:color w:val="FFFFFF"/>
                <w:sz w:val="20"/>
              </w:rPr>
              <w:t>Share</w:t>
            </w:r>
          </w:p>
        </w:tc>
      </w:tr>
      <w:tr w:rsidR="00942DF7">
        <w:trPr>
          <w:cantSplit/>
        </w:trPr>
        <w:tc>
          <w:tcPr>
            <w:tcW w:w="7427"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SNSD – Milorad Dodik</w:t>
            </w:r>
          </w:p>
        </w:tc>
        <w:tc>
          <w:tcPr>
            <w:tcW w:w="1984"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18.2%</w:t>
            </w:r>
          </w:p>
        </w:tc>
      </w:tr>
      <w:tr w:rsidR="00942DF7">
        <w:trPr>
          <w:cantSplit/>
        </w:trPr>
        <w:tc>
          <w:tcPr>
            <w:tcW w:w="7427"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SDA</w:t>
            </w:r>
          </w:p>
        </w:tc>
        <w:tc>
          <w:tcPr>
            <w:tcW w:w="1984"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10.2%</w:t>
            </w:r>
          </w:p>
        </w:tc>
      </w:tr>
      <w:tr w:rsidR="00942DF7">
        <w:trPr>
          <w:cantSplit/>
        </w:trPr>
        <w:tc>
          <w:tcPr>
            <w:tcW w:w="7427"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PSS/PDP</w:t>
            </w:r>
          </w:p>
        </w:tc>
        <w:tc>
          <w:tcPr>
            <w:tcW w:w="1984"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10.0%</w:t>
            </w:r>
          </w:p>
        </w:tc>
      </w:tr>
      <w:tr w:rsidR="00942DF7">
        <w:trPr>
          <w:cantSplit/>
        </w:trPr>
        <w:tc>
          <w:tcPr>
            <w:tcW w:w="7427"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SDP</w:t>
            </w:r>
          </w:p>
        </w:tc>
        <w:tc>
          <w:tcPr>
            <w:tcW w:w="1984"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9.1%</w:t>
            </w:r>
          </w:p>
        </w:tc>
      </w:tr>
      <w:tr w:rsidR="00942DF7">
        <w:trPr>
          <w:cantSplit/>
        </w:trPr>
        <w:tc>
          <w:tcPr>
            <w:tcW w:w="7427"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SDS</w:t>
            </w:r>
          </w:p>
        </w:tc>
        <w:tc>
          <w:tcPr>
            <w:tcW w:w="1984"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4.8%</w:t>
            </w:r>
          </w:p>
        </w:tc>
      </w:tr>
    </w:tbl>
    <w:p w:rsidR="00942DF7" w:rsidRDefault="00942DF7">
      <w:pPr>
        <w:spacing w:after="0"/>
      </w:pPr>
    </w:p>
    <w:p w:rsidR="00942DF7" w:rsidRDefault="00887F79">
      <w:r>
        <w:rPr>
          <w:lang w:val="en-GB"/>
        </w:rPr>
        <w:br w:type="page"/>
      </w:r>
    </w:p>
    <w:p w:rsidR="00942DF7" w:rsidRDefault="00887F79">
      <w:pPr>
        <w:pStyle w:val="Heading1"/>
      </w:pPr>
      <w:r>
        <w:rPr>
          <w:lang w:val="en-GB"/>
        </w:rPr>
        <w:lastRenderedPageBreak/>
        <w:t>Misuse of public funds and resources</w:t>
      </w:r>
    </w:p>
    <w:p w:rsidR="00942DF7" w:rsidRDefault="00887F79">
      <w:r>
        <w:rPr>
          <w:lang w:val="en-GB"/>
        </w:rPr>
        <w:t xml:space="preserve">Although electoral legislation in BiH has been improved and the misuse of public </w:t>
      </w:r>
      <w:r>
        <w:rPr>
          <w:lang w:val="en-GB"/>
        </w:rPr>
        <w:t>funds has finally been defined more clearly, sanctions have so far been absent. Analysis of the cases reported to date indicates legal gaps and inconsistent sanctioning practices between electoral cycles, allowing certain conduct to remain unsanctioned des</w:t>
      </w:r>
      <w:r>
        <w:rPr>
          <w:lang w:val="en-GB"/>
        </w:rPr>
        <w:t>pite bearing the characteristics of misuse of public resources.</w:t>
      </w:r>
    </w:p>
    <w:p w:rsidR="00942DF7" w:rsidRDefault="00887F79">
      <w:r>
        <w:rPr>
          <w:lang w:val="en-GB"/>
        </w:rPr>
        <w:t>So far, 12 submissions have been rejected and 46 are currently under consideration, while the “Pod lupom” Coalition’s legal team is processing additional cases. Particularly problematic is tha</w:t>
      </w:r>
      <w:r>
        <w:rPr>
          <w:lang w:val="en-GB"/>
        </w:rPr>
        <w:t>t, in some rejected cases, the fact that the political actors had not yet been certified to participate in the elections at the time of the contested conduct is treated as an obstacle. This is especially evident at public events — namely playground opening</w:t>
      </w:r>
      <w:r>
        <w:rPr>
          <w:lang w:val="en-GB"/>
        </w:rPr>
        <w:t>s, infrastructure projects, ceremonial events and donations to schools — attended by politicians or their supporters, even though the events were funded or organised by public institutions or public enterprises.</w:t>
      </w:r>
    </w:p>
    <w:p w:rsidR="00942DF7" w:rsidRDefault="00887F79">
      <w:r>
        <w:rPr>
          <w:lang w:val="en-GB"/>
        </w:rPr>
        <w:t>This practice creates a grey area between th</w:t>
      </w:r>
      <w:r>
        <w:rPr>
          <w:lang w:val="en-GB"/>
        </w:rPr>
        <w:t>e start of political promotion and formal candidate certification. The Election Law of BiH prohibits the promotion of political entities or candidates at public events funded by public institutions or public enterprises. However, if a political actor is no</w:t>
      </w:r>
      <w:r>
        <w:rPr>
          <w:lang w:val="en-GB"/>
        </w:rPr>
        <w:t>t formally considered a candidate or political entity under the relevant provisions at the time of the event, substantive political promotion may fall outside the reach of sanctions because of the actor’s formal status.</w:t>
      </w:r>
    </w:p>
    <w:p w:rsidR="00942DF7" w:rsidRDefault="00887F79">
      <w:r>
        <w:rPr>
          <w:lang w:val="en-GB"/>
        </w:rPr>
        <w:t xml:space="preserve">Inconsistency with earlier practice </w:t>
      </w:r>
      <w:r>
        <w:rPr>
          <w:lang w:val="en-GB"/>
        </w:rPr>
        <w:t>is a further concern. In the previous electoral cycle, there were cases in which presenting the achievements of government as the success of a political party was sanctioned. In the current cycle, similar conduct has not resulted in sanctions. It is partic</w:t>
      </w:r>
      <w:r>
        <w:rPr>
          <w:lang w:val="en-GB"/>
        </w:rPr>
        <w:t>ularly problematic when a party presents officeholders’ activities on its social media accounts as party achievements. Using public projects and government achievements as political capital during a campaign constitutes the indirect buying of voter support</w:t>
      </w:r>
      <w:r>
        <w:rPr>
          <w:lang w:val="en-GB"/>
        </w:rPr>
        <w:t>, yet no sanctions have been imposed in this electoral cycle.</w:t>
      </w:r>
    </w:p>
    <w:p w:rsidR="00942DF7" w:rsidRDefault="00887F79">
      <w:r>
        <w:rPr>
          <w:lang w:val="en-GB"/>
        </w:rPr>
        <w:t>A further limitation is that only persons holding an executive office or mandate can be sanctioned for certain forms of misuse. This creates a gap between the statutory definition and the actual</w:t>
      </w:r>
      <w:r>
        <w:rPr>
          <w:lang w:val="en-GB"/>
        </w:rPr>
        <w:t xml:space="preserve"> actors engaged in political promotion, and no sanction was imposed for a reported case of this kind either.</w:t>
      </w:r>
    </w:p>
    <w:p w:rsidR="00942DF7" w:rsidRDefault="00887F79">
      <w:r>
        <w:rPr>
          <w:lang w:val="en-GB"/>
        </w:rPr>
        <w:t>So far, only one sanction for misuse of public funds and resources has been imposed following reports by the “Pod lupom” Coalition. It concerns the</w:t>
      </w:r>
      <w:r>
        <w:rPr>
          <w:lang w:val="en-GB"/>
        </w:rPr>
        <w:t xml:space="preserve"> use of a position as head of a government body or institution to publicly promote oneself as a candidate and/or the political entity to which one belongs, through public promotion of that body or institution.</w:t>
      </w:r>
    </w:p>
    <w:p w:rsidR="00942DF7" w:rsidRDefault="00887F79">
      <w:pPr>
        <w:pStyle w:val="Heading2"/>
      </w:pPr>
      <w:r>
        <w:rPr>
          <w:lang w:val="en-GB"/>
        </w:rPr>
        <w:t>Examples of misuse of public funds and resourc</w:t>
      </w:r>
      <w:r>
        <w:rPr>
          <w:lang w:val="en-GB"/>
        </w:rPr>
        <w:t>es that were not sanctioned</w:t>
      </w:r>
    </w:p>
    <w:p w:rsidR="00942DF7" w:rsidRDefault="00887F79">
      <w:pPr>
        <w:jc w:val="center"/>
      </w:pPr>
      <w:r>
        <w:rPr>
          <w:noProof/>
        </w:rPr>
        <w:drawing>
          <wp:inline distT="0" distB="0" distL="0" distR="0">
            <wp:extent cx="1332000" cy="1332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e6_0.png"/>
                    <pic:cNvPicPr/>
                  </pic:nvPicPr>
                  <pic:blipFill>
                    <a:blip r:embed="rId12"/>
                    <a:stretch>
                      <a:fillRect/>
                    </a:stretch>
                  </pic:blipFill>
                  <pic:spPr>
                    <a:xfrm>
                      <a:off x="0" y="0"/>
                      <a:ext cx="1332000" cy="1332000"/>
                    </a:xfrm>
                    <a:prstGeom prst="rect">
                      <a:avLst/>
                    </a:prstGeom>
                  </pic:spPr>
                </pic:pic>
              </a:graphicData>
            </a:graphic>
          </wp:inline>
        </w:drawing>
      </w:r>
      <w:r>
        <w:rPr>
          <w:lang w:val="en-GB"/>
        </w:rPr>
        <w:t xml:space="preserve">  </w:t>
      </w:r>
      <w:r>
        <w:rPr>
          <w:noProof/>
        </w:rPr>
        <w:drawing>
          <wp:inline distT="0" distB="0" distL="0" distR="0">
            <wp:extent cx="1332000" cy="135457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e6_1.png"/>
                    <pic:cNvPicPr/>
                  </pic:nvPicPr>
                  <pic:blipFill>
                    <a:blip r:embed="rId13"/>
                    <a:stretch>
                      <a:fillRect/>
                    </a:stretch>
                  </pic:blipFill>
                  <pic:spPr>
                    <a:xfrm>
                      <a:off x="0" y="0"/>
                      <a:ext cx="1332000" cy="1354576"/>
                    </a:xfrm>
                    <a:prstGeom prst="rect">
                      <a:avLst/>
                    </a:prstGeom>
                  </pic:spPr>
                </pic:pic>
              </a:graphicData>
            </a:graphic>
          </wp:inline>
        </w:drawing>
      </w:r>
      <w:r>
        <w:rPr>
          <w:lang w:val="en-GB"/>
        </w:rPr>
        <w:t xml:space="preserve">  </w:t>
      </w:r>
    </w:p>
    <w:p w:rsidR="00942DF7" w:rsidRDefault="00887F79">
      <w:r>
        <w:rPr>
          <w:lang w:val="en-GB"/>
        </w:rPr>
        <w:t>Laying the foundation stone for the Brčko–Bijeljina motorway. Among those attending the ceremony was Milorad Dodik, President of SNSD. No sanction imposed.</w:t>
      </w:r>
    </w:p>
    <w:p w:rsidR="00942DF7" w:rsidRDefault="00887F79">
      <w:r>
        <w:rPr>
          <w:lang w:val="en-GB"/>
        </w:rPr>
        <w:t>Promotion of a donation of IT equipment to schools in Modriča and</w:t>
      </w:r>
      <w:r>
        <w:rPr>
          <w:lang w:val="en-GB"/>
        </w:rPr>
        <w:t xml:space="preserve"> Brod. No sanction imposed.</w:t>
      </w:r>
    </w:p>
    <w:p w:rsidR="00942DF7" w:rsidRDefault="00887F79">
      <w:pPr>
        <w:pStyle w:val="Heading2"/>
      </w:pPr>
      <w:r>
        <w:rPr>
          <w:lang w:val="en-GB"/>
        </w:rPr>
        <w:lastRenderedPageBreak/>
        <w:t>Example of a sanction for misuse of public resources</w:t>
      </w:r>
    </w:p>
    <w:p w:rsidR="00942DF7" w:rsidRDefault="00887F79">
      <w:pPr>
        <w:jc w:val="center"/>
      </w:pPr>
      <w:r>
        <w:rPr>
          <w:noProof/>
        </w:rPr>
        <w:drawing>
          <wp:inline distT="0" distB="0" distL="0" distR="0">
            <wp:extent cx="1332000" cy="133831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e7_0.png"/>
                    <pic:cNvPicPr/>
                  </pic:nvPicPr>
                  <pic:blipFill>
                    <a:blip r:embed="rId14"/>
                    <a:stretch>
                      <a:fillRect/>
                    </a:stretch>
                  </pic:blipFill>
                  <pic:spPr>
                    <a:xfrm>
                      <a:off x="0" y="0"/>
                      <a:ext cx="1332000" cy="1338313"/>
                    </a:xfrm>
                    <a:prstGeom prst="rect">
                      <a:avLst/>
                    </a:prstGeom>
                  </pic:spPr>
                </pic:pic>
              </a:graphicData>
            </a:graphic>
          </wp:inline>
        </w:drawing>
      </w:r>
      <w:r>
        <w:rPr>
          <w:lang w:val="en-GB"/>
        </w:rPr>
        <w:t xml:space="preserve">  </w:t>
      </w:r>
    </w:p>
    <w:p w:rsidR="00942DF7" w:rsidRDefault="00887F79">
      <w:r>
        <w:rPr>
          <w:lang w:val="en-GB"/>
        </w:rPr>
        <w:t>A video was published on the official Facebook page of the political entity NiP Stari Grad in which Ensar Mulahasanović, Director of the public institution “Centre for Adv</w:t>
      </w:r>
      <w:r>
        <w:rPr>
          <w:lang w:val="en-GB"/>
        </w:rPr>
        <w:t>anced Technologies”, spoke about the activities of that public institution.</w:t>
      </w:r>
    </w:p>
    <w:p w:rsidR="00942DF7" w:rsidRDefault="00887F79">
      <w:r>
        <w:rPr>
          <w:lang w:val="en-GB"/>
        </w:rPr>
        <w:t>Sanction imposed for using a position as head of a government body or institution to publicly promote oneself as a candidate and/or the political entity to which one belongs, throu</w:t>
      </w:r>
      <w:r>
        <w:rPr>
          <w:lang w:val="en-GB"/>
        </w:rPr>
        <w:t>gh public promotion of the body or institution: NiP — BAM 4,000.</w:t>
      </w:r>
    </w:p>
    <w:p w:rsidR="00942DF7" w:rsidRDefault="00887F79">
      <w:r>
        <w:rPr>
          <w:lang w:val="en-GB"/>
        </w:rPr>
        <w:br w:type="page"/>
      </w:r>
    </w:p>
    <w:p w:rsidR="00942DF7" w:rsidRDefault="00887F79">
      <w:pPr>
        <w:pStyle w:val="Heading1"/>
      </w:pPr>
      <w:r>
        <w:rPr>
          <w:lang w:val="en-GB"/>
        </w:rPr>
        <w:lastRenderedPageBreak/>
        <w:t>Irregularities in the formation of polling station committees</w:t>
      </w:r>
    </w:p>
    <w:p w:rsidR="00942DF7" w:rsidRDefault="00887F79">
      <w:r>
        <w:rPr>
          <w:lang w:val="en-GB"/>
        </w:rPr>
        <w:t>One of the significant findings of the “Pod lupom” Coalition’s citizen, non-partisan observation mission ahead of the 2026 Gene</w:t>
      </w:r>
      <w:r>
        <w:rPr>
          <w:lang w:val="en-GB"/>
        </w:rPr>
        <w:t>ral Elections concerns the formation of polling station committees. The Coalition has so far recorded a total of 304 irregularities relating to their formation: 39 cases concern suspected trading in polling station committee positions, while 265 concern ca</w:t>
      </w:r>
      <w:r>
        <w:rPr>
          <w:lang w:val="en-GB"/>
        </w:rPr>
        <w:t>ndidates for committee chairperson positions whose party affiliation has been established or indicated. These findings show that certain patterns of political influence over polling station committees continue despite substantial amendments to electoral le</w:t>
      </w:r>
      <w:r>
        <w:rPr>
          <w:lang w:val="en-GB"/>
        </w:rPr>
        <w:t>gislation specifically intended to professionalise this part of the election administration and reduce the scope for party influence.</w:t>
      </w:r>
    </w:p>
    <w:p w:rsidR="00942DF7" w:rsidRDefault="00887F79">
      <w:r>
        <w:rPr>
          <w:lang w:val="en-GB"/>
        </w:rPr>
        <w:t xml:space="preserve">This finding raises an important question about the actual purpose of continuing these practices. The introduction of new </w:t>
      </w:r>
      <w:r>
        <w:rPr>
          <w:lang w:val="en-GB"/>
        </w:rPr>
        <w:t>election technologies at all polling stations eliminates the scope for potential manipulation previously associated with the work of polling station committees. However, continuing attempts to trade in committee positions and appoint party-affiliated indiv</w:t>
      </w:r>
      <w:r>
        <w:rPr>
          <w:lang w:val="en-GB"/>
        </w:rPr>
        <w:t>iduals to non-partisan positions indicate that the political interest in controlling committee membership has not disappeared with the introduction of the new technologies. This requires further consideration of why political entities continue to invest ef</w:t>
      </w:r>
      <w:r>
        <w:rPr>
          <w:lang w:val="en-GB"/>
        </w:rPr>
        <w:t>fort in exercising unlawful influence over polling station committees.</w:t>
      </w:r>
    </w:p>
    <w:p w:rsidR="00942DF7" w:rsidRDefault="00887F79">
      <w:r>
        <w:rPr>
          <w:lang w:val="en-GB"/>
        </w:rPr>
        <w:t>The Coalition’s findings also highlight the need to ensure that reform of polling station committees does not stop at changes to legislation. Full implementation of the new rules requir</w:t>
      </w:r>
      <w:r>
        <w:rPr>
          <w:lang w:val="en-GB"/>
        </w:rPr>
        <w:t>es effective candidate screening mechanisms, timely identification of political affiliations, clear accountability for political entities and consistent sanctions for established abuses.</w:t>
      </w:r>
    </w:p>
    <w:p w:rsidR="00942DF7" w:rsidRDefault="00887F79">
      <w:r>
        <w:rPr>
          <w:lang w:val="en-GB"/>
        </w:rPr>
        <w:t>Experience from this electoral cycle shows that a statutory prohibiti</w:t>
      </w:r>
      <w:r>
        <w:rPr>
          <w:lang w:val="en-GB"/>
        </w:rPr>
        <w:t>on alone is insufficient if the competent authorities lack practical mechanisms for establishing violations. This is particularly evident in suspected trading in polling station committee positions: according to publicly available information and monitorin</w:t>
      </w:r>
      <w:r>
        <w:rPr>
          <w:lang w:val="en-GB"/>
        </w:rPr>
        <w:t>g of CEC sessions, the CEC has had difficulty proving membership of political parties during the current electoral cycle.</w:t>
      </w:r>
    </w:p>
    <w:p w:rsidR="00942DF7" w:rsidRDefault="00887F79">
      <w:r>
        <w:rPr>
          <w:lang w:val="en-GB"/>
        </w:rPr>
        <w:br w:type="page"/>
      </w:r>
    </w:p>
    <w:p w:rsidR="00942DF7" w:rsidRDefault="00887F79">
      <w:pPr>
        <w:pStyle w:val="Heading1"/>
      </w:pPr>
      <w:r>
        <w:rPr>
          <w:lang w:val="en-GB"/>
        </w:rPr>
        <w:lastRenderedPageBreak/>
        <w:t>Premature election campaigning</w:t>
      </w:r>
    </w:p>
    <w:p w:rsidR="00942DF7" w:rsidRDefault="00887F79">
      <w:r>
        <w:rPr>
          <w:lang w:val="en-GB"/>
        </w:rPr>
        <w:t>Premature election campaigning is one of the new provisions in electoral legislation in BiH, introduc</w:t>
      </w:r>
      <w:r>
        <w:rPr>
          <w:lang w:val="en-GB"/>
        </w:rPr>
        <w:t>ed by the 2024 amendments to the Election Law. For the first time, it was explicitly defined as any form of campaign activity undertaken by political entities from the day elections are called until the official start of the election campaign. Findings fro</w:t>
      </w:r>
      <w:r>
        <w:rPr>
          <w:lang w:val="en-GB"/>
        </w:rPr>
        <w:t>m citizen, non-partisan observation to date show that premature campaigning is among the most frequently recorded categories of electoral irregularity in this cycle, while also being the irregularity most actively sanctioned by the CEC BiH.</w:t>
      </w:r>
    </w:p>
    <w:p w:rsidR="00942DF7" w:rsidRDefault="00887F79">
      <w:pPr>
        <w:pStyle w:val="Heading2"/>
      </w:pPr>
      <w:r>
        <w:rPr>
          <w:lang w:val="en-GB"/>
        </w:rPr>
        <w:t>Examples of san</w:t>
      </w:r>
      <w:r>
        <w:rPr>
          <w:lang w:val="en-GB"/>
        </w:rPr>
        <w:t>ctions for premature campaigning</w:t>
      </w:r>
    </w:p>
    <w:p w:rsidR="00942DF7" w:rsidRDefault="00887F79">
      <w:pPr>
        <w:jc w:val="center"/>
      </w:pPr>
      <w:r>
        <w:rPr>
          <w:noProof/>
        </w:rPr>
        <w:drawing>
          <wp:inline distT="0" distB="0" distL="0" distR="0">
            <wp:extent cx="1368000" cy="138857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e8_0.png"/>
                    <pic:cNvPicPr/>
                  </pic:nvPicPr>
                  <pic:blipFill>
                    <a:blip r:embed="rId15"/>
                    <a:stretch>
                      <a:fillRect/>
                    </a:stretch>
                  </pic:blipFill>
                  <pic:spPr>
                    <a:xfrm>
                      <a:off x="0" y="0"/>
                      <a:ext cx="1368000" cy="1388571"/>
                    </a:xfrm>
                    <a:prstGeom prst="rect">
                      <a:avLst/>
                    </a:prstGeom>
                  </pic:spPr>
                </pic:pic>
              </a:graphicData>
            </a:graphic>
          </wp:inline>
        </w:drawing>
      </w:r>
      <w:r>
        <w:rPr>
          <w:lang w:val="en-GB"/>
        </w:rPr>
        <w:t xml:space="preserve">  </w:t>
      </w:r>
      <w:r>
        <w:rPr>
          <w:noProof/>
        </w:rPr>
        <w:drawing>
          <wp:inline distT="0" distB="0" distL="0" distR="0">
            <wp:extent cx="1368000" cy="133826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e8_1.png"/>
                    <pic:cNvPicPr/>
                  </pic:nvPicPr>
                  <pic:blipFill>
                    <a:blip r:embed="rId16"/>
                    <a:stretch>
                      <a:fillRect/>
                    </a:stretch>
                  </pic:blipFill>
                  <pic:spPr>
                    <a:xfrm>
                      <a:off x="0" y="0"/>
                      <a:ext cx="1368000" cy="1338261"/>
                    </a:xfrm>
                    <a:prstGeom prst="rect">
                      <a:avLst/>
                    </a:prstGeom>
                  </pic:spPr>
                </pic:pic>
              </a:graphicData>
            </a:graphic>
          </wp:inline>
        </w:drawing>
      </w:r>
      <w:r>
        <w:rPr>
          <w:lang w:val="en-GB"/>
        </w:rPr>
        <w:t xml:space="preserve">  </w:t>
      </w:r>
      <w:r>
        <w:rPr>
          <w:noProof/>
        </w:rPr>
        <w:drawing>
          <wp:inline distT="0" distB="0" distL="0" distR="0">
            <wp:extent cx="1368000" cy="134312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e8_2.png"/>
                    <pic:cNvPicPr/>
                  </pic:nvPicPr>
                  <pic:blipFill>
                    <a:blip r:embed="rId17"/>
                    <a:stretch>
                      <a:fillRect/>
                    </a:stretch>
                  </pic:blipFill>
                  <pic:spPr>
                    <a:xfrm>
                      <a:off x="0" y="0"/>
                      <a:ext cx="1368000" cy="1343127"/>
                    </a:xfrm>
                    <a:prstGeom prst="rect">
                      <a:avLst/>
                    </a:prstGeom>
                  </pic:spPr>
                </pic:pic>
              </a:graphicData>
            </a:graphic>
          </wp:inline>
        </w:drawing>
      </w:r>
      <w:r>
        <w:rPr>
          <w:lang w:val="en-GB"/>
        </w:rPr>
        <w:t xml:space="preserve">  </w:t>
      </w:r>
    </w:p>
    <w:tbl>
      <w:tblPr>
        <w:tblW w:w="0" w:type="auto"/>
        <w:tblLayout w:type="fixed"/>
        <w:tblLook w:val="04A0" w:firstRow="1" w:lastRow="0" w:firstColumn="1" w:lastColumn="0" w:noHBand="0" w:noVBand="1"/>
      </w:tblPr>
      <w:tblGrid>
        <w:gridCol w:w="5953"/>
        <w:gridCol w:w="3458"/>
      </w:tblGrid>
      <w:tr w:rsidR="00942DF7">
        <w:trPr>
          <w:cantSplit/>
          <w:tblHeader/>
        </w:trPr>
        <w:tc>
          <w:tcPr>
            <w:tcW w:w="5953"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942DF7" w:rsidRDefault="00887F79">
            <w:pPr>
              <w:spacing w:before="40" w:after="40" w:line="240" w:lineRule="auto"/>
            </w:pPr>
            <w:r>
              <w:rPr>
                <w:b/>
                <w:color w:val="FFFFFF"/>
                <w:sz w:val="20"/>
              </w:rPr>
              <w:t>Conduct</w:t>
            </w:r>
          </w:p>
        </w:tc>
        <w:tc>
          <w:tcPr>
            <w:tcW w:w="3458"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942DF7" w:rsidRDefault="00887F79">
            <w:pPr>
              <w:spacing w:before="40" w:after="40" w:line="240" w:lineRule="auto"/>
            </w:pPr>
            <w:r>
              <w:rPr>
                <w:b/>
                <w:color w:val="FFFFFF"/>
                <w:sz w:val="20"/>
              </w:rPr>
              <w:t>Sanctions imposed</w:t>
            </w:r>
          </w:p>
        </w:tc>
      </w:tr>
      <w:tr w:rsidR="00942DF7">
        <w:trPr>
          <w:cantSplit/>
        </w:trPr>
        <w:tc>
          <w:tcPr>
            <w:tcW w:w="5953"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Presentation of an asphalt paving project, criticism of the current government and attribution of credit to the party</w:t>
            </w:r>
          </w:p>
        </w:tc>
        <w:tc>
          <w:tcPr>
            <w:tcW w:w="3458"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SNSD: BAM 7,500</w:t>
            </w:r>
            <w:r>
              <w:rPr>
                <w:sz w:val="20"/>
              </w:rPr>
              <w:br/>
              <w:t>Srđan Amidžić: BAM 3,000</w:t>
            </w:r>
            <w:r>
              <w:rPr>
                <w:sz w:val="20"/>
              </w:rPr>
              <w:br/>
              <w:t>Goran Maričić: BAM 3,000</w:t>
            </w:r>
          </w:p>
        </w:tc>
      </w:tr>
      <w:tr w:rsidR="00942DF7">
        <w:trPr>
          <w:cantSplit/>
        </w:trPr>
        <w:tc>
          <w:tcPr>
            <w:tcW w:w="5953"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Party promotion and discrediting of opponents during a television appearance</w:t>
            </w:r>
          </w:p>
        </w:tc>
        <w:tc>
          <w:tcPr>
            <w:tcW w:w="345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SDA: BAM 4,500</w:t>
            </w:r>
          </w:p>
        </w:tc>
      </w:tr>
      <w:tr w:rsidR="00942DF7">
        <w:trPr>
          <w:cantSplit/>
        </w:trPr>
        <w:tc>
          <w:tcPr>
            <w:tcW w:w="5953"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Promotion of PSS through a video advertisement</w:t>
            </w:r>
          </w:p>
        </w:tc>
        <w:tc>
          <w:tcPr>
            <w:tcW w:w="3458"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BAM 3,000, paid equally:</w:t>
            </w:r>
            <w:r>
              <w:rPr>
                <w:sz w:val="20"/>
              </w:rPr>
              <w:br/>
              <w:t>PDP: BAM 1,500</w:t>
            </w:r>
            <w:r>
              <w:rPr>
                <w:sz w:val="20"/>
              </w:rPr>
              <w:br/>
              <w:t>NPSP: BAM 1,500</w:t>
            </w:r>
          </w:p>
        </w:tc>
      </w:tr>
    </w:tbl>
    <w:p w:rsidR="00942DF7" w:rsidRDefault="00942DF7">
      <w:pPr>
        <w:spacing w:after="0"/>
      </w:pPr>
    </w:p>
    <w:p w:rsidR="00942DF7" w:rsidRDefault="00887F79">
      <w:pPr>
        <w:jc w:val="center"/>
      </w:pPr>
      <w:r>
        <w:rPr>
          <w:noProof/>
        </w:rPr>
        <w:drawing>
          <wp:inline distT="0" distB="0" distL="0" distR="0">
            <wp:extent cx="1332000" cy="134468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e9_0.png"/>
                    <pic:cNvPicPr/>
                  </pic:nvPicPr>
                  <pic:blipFill>
                    <a:blip r:embed="rId18"/>
                    <a:stretch>
                      <a:fillRect/>
                    </a:stretch>
                  </pic:blipFill>
                  <pic:spPr>
                    <a:xfrm>
                      <a:off x="0" y="0"/>
                      <a:ext cx="1332000" cy="1344686"/>
                    </a:xfrm>
                    <a:prstGeom prst="rect">
                      <a:avLst/>
                    </a:prstGeom>
                  </pic:spPr>
                </pic:pic>
              </a:graphicData>
            </a:graphic>
          </wp:inline>
        </w:drawing>
      </w:r>
      <w:r>
        <w:rPr>
          <w:lang w:val="en-GB"/>
        </w:rPr>
        <w:t xml:space="preserve">  </w:t>
      </w:r>
      <w:r>
        <w:rPr>
          <w:noProof/>
        </w:rPr>
        <w:drawing>
          <wp:inline distT="0" distB="0" distL="0" distR="0">
            <wp:extent cx="1332000" cy="1344686"/>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e9_1.png"/>
                    <pic:cNvPicPr/>
                  </pic:nvPicPr>
                  <pic:blipFill>
                    <a:blip r:embed="rId19"/>
                    <a:stretch>
                      <a:fillRect/>
                    </a:stretch>
                  </pic:blipFill>
                  <pic:spPr>
                    <a:xfrm>
                      <a:off x="0" y="0"/>
                      <a:ext cx="1332000" cy="1344686"/>
                    </a:xfrm>
                    <a:prstGeom prst="rect">
                      <a:avLst/>
                    </a:prstGeom>
                  </pic:spPr>
                </pic:pic>
              </a:graphicData>
            </a:graphic>
          </wp:inline>
        </w:drawing>
      </w:r>
      <w:r>
        <w:rPr>
          <w:lang w:val="en-GB"/>
        </w:rPr>
        <w:t xml:space="preserve">  </w:t>
      </w:r>
      <w:r>
        <w:rPr>
          <w:noProof/>
        </w:rPr>
        <w:drawing>
          <wp:inline distT="0" distB="0" distL="0" distR="0">
            <wp:extent cx="1332000" cy="1319551"/>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e9_2.png"/>
                    <pic:cNvPicPr/>
                  </pic:nvPicPr>
                  <pic:blipFill>
                    <a:blip r:embed="rId20"/>
                    <a:stretch>
                      <a:fillRect/>
                    </a:stretch>
                  </pic:blipFill>
                  <pic:spPr>
                    <a:xfrm>
                      <a:off x="0" y="0"/>
                      <a:ext cx="1332000" cy="1319551"/>
                    </a:xfrm>
                    <a:prstGeom prst="rect">
                      <a:avLst/>
                    </a:prstGeom>
                  </pic:spPr>
                </pic:pic>
              </a:graphicData>
            </a:graphic>
          </wp:inline>
        </w:drawing>
      </w:r>
      <w:r>
        <w:rPr>
          <w:lang w:val="en-GB"/>
        </w:rPr>
        <w:t xml:space="preserve">  </w:t>
      </w:r>
    </w:p>
    <w:tbl>
      <w:tblPr>
        <w:tblW w:w="0" w:type="auto"/>
        <w:tblLayout w:type="fixed"/>
        <w:tblLook w:val="04A0" w:firstRow="1" w:lastRow="0" w:firstColumn="1" w:lastColumn="0" w:noHBand="0" w:noVBand="1"/>
      </w:tblPr>
      <w:tblGrid>
        <w:gridCol w:w="5953"/>
        <w:gridCol w:w="3458"/>
      </w:tblGrid>
      <w:tr w:rsidR="00942DF7">
        <w:trPr>
          <w:cantSplit/>
          <w:tblHeader/>
        </w:trPr>
        <w:tc>
          <w:tcPr>
            <w:tcW w:w="5953"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942DF7" w:rsidRDefault="00887F79">
            <w:pPr>
              <w:spacing w:before="40" w:after="40" w:line="240" w:lineRule="auto"/>
            </w:pPr>
            <w:r>
              <w:rPr>
                <w:b/>
                <w:color w:val="FFFFFF"/>
                <w:sz w:val="20"/>
              </w:rPr>
              <w:t>Conduct</w:t>
            </w:r>
          </w:p>
        </w:tc>
        <w:tc>
          <w:tcPr>
            <w:tcW w:w="3458"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942DF7" w:rsidRDefault="00887F79">
            <w:pPr>
              <w:spacing w:before="40" w:after="40" w:line="240" w:lineRule="auto"/>
            </w:pPr>
            <w:r>
              <w:rPr>
                <w:b/>
                <w:color w:val="FFFFFF"/>
                <w:sz w:val="20"/>
              </w:rPr>
              <w:t>Sanctions imposed</w:t>
            </w:r>
          </w:p>
        </w:tc>
      </w:tr>
      <w:tr w:rsidR="00942DF7">
        <w:trPr>
          <w:cantSplit/>
        </w:trPr>
        <w:tc>
          <w:tcPr>
            <w:tcW w:w="5953"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 xml:space="preserve">Social gathering in </w:t>
            </w:r>
            <w:r>
              <w:rPr>
                <w:sz w:val="20"/>
              </w:rPr>
              <w:t>Trebinje</w:t>
            </w:r>
          </w:p>
        </w:tc>
        <w:tc>
          <w:tcPr>
            <w:tcW w:w="3458"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US: BAM 4,000</w:t>
            </w:r>
            <w:r>
              <w:rPr>
                <w:sz w:val="20"/>
              </w:rPr>
              <w:br/>
              <w:t>Nenad Stevandić: BAM 3,500</w:t>
            </w:r>
          </w:p>
        </w:tc>
      </w:tr>
      <w:tr w:rsidR="00942DF7">
        <w:trPr>
          <w:cantSplit/>
        </w:trPr>
        <w:tc>
          <w:tcPr>
            <w:tcW w:w="5953"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Television appearance</w:t>
            </w:r>
          </w:p>
        </w:tc>
        <w:tc>
          <w:tcPr>
            <w:tcW w:w="345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Croat Five (HDZ 1990, HRS, HNS, HDP-HSS): BAM 3,000</w:t>
            </w:r>
            <w:r>
              <w:rPr>
                <w:sz w:val="20"/>
              </w:rPr>
              <w:br/>
              <w:t>Ilija Cvitanović: BAM 3,000</w:t>
            </w:r>
          </w:p>
        </w:tc>
      </w:tr>
      <w:tr w:rsidR="00942DF7">
        <w:trPr>
          <w:cantSplit/>
        </w:trPr>
        <w:tc>
          <w:tcPr>
            <w:tcW w:w="5953"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Television appearance</w:t>
            </w:r>
          </w:p>
        </w:tc>
        <w:tc>
          <w:tcPr>
            <w:tcW w:w="3458"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Narodni front: BAM 3,000</w:t>
            </w:r>
            <w:r>
              <w:rPr>
                <w:sz w:val="20"/>
              </w:rPr>
              <w:br/>
              <w:t>Jelena Trivić: BAM 3,000</w:t>
            </w:r>
          </w:p>
        </w:tc>
      </w:tr>
    </w:tbl>
    <w:p w:rsidR="00942DF7" w:rsidRDefault="00942DF7">
      <w:pPr>
        <w:spacing w:after="0"/>
      </w:pPr>
    </w:p>
    <w:p w:rsidR="00942DF7" w:rsidRDefault="00887F79">
      <w:r>
        <w:rPr>
          <w:lang w:val="en-GB"/>
        </w:rPr>
        <w:lastRenderedPageBreak/>
        <w:t xml:space="preserve">Particular attention should </w:t>
      </w:r>
      <w:r>
        <w:rPr>
          <w:lang w:val="en-GB"/>
        </w:rPr>
        <w:t>be drawn to a problem that has arisen in this electoral cycle concerning the application of the ban on premature election campaigning during the period after elections are called but before political entities and candidates are certified to participate. Al</w:t>
      </w:r>
      <w:r>
        <w:rPr>
          <w:lang w:val="en-GB"/>
        </w:rPr>
        <w:t xml:space="preserve">though the legal framework clearly provides that premature election campaigning is prohibited from the day elections are called, this electoral cycle has seen political entities and, in some cases, candidates conduct activities bearing the characteristics </w:t>
      </w:r>
      <w:r>
        <w:rPr>
          <w:lang w:val="en-GB"/>
        </w:rPr>
        <w:t>of an election campaign without a timely and adequate response from the competent institutions until their certification to participate in the elections.</w:t>
      </w:r>
    </w:p>
    <w:p w:rsidR="00942DF7" w:rsidRDefault="00887F79">
      <w:r>
        <w:rPr>
          <w:lang w:val="en-GB"/>
        </w:rPr>
        <w:t>This approach has directly affected the effectiveness of the enforcement of electoral rules. A signifi</w:t>
      </w:r>
      <w:r>
        <w:rPr>
          <w:lang w:val="en-GB"/>
        </w:rPr>
        <w:t>cant number of recorded cases of premature campaigning and prohibited paid advertising have not resulted in sanctions, calling into question the effectiveness of a ban that should apply from the day elections are called. Particularly concerning is the fact</w:t>
      </w:r>
      <w:r>
        <w:rPr>
          <w:lang w:val="en-GB"/>
        </w:rPr>
        <w:t xml:space="preserve"> that similar conduct was sanctioned in previous electoral cycles, whereas the competent institutions have adopted a different practice in the current cycle.</w:t>
      </w:r>
    </w:p>
    <w:p w:rsidR="00942DF7" w:rsidRDefault="00887F79">
      <w:r>
        <w:rPr>
          <w:lang w:val="en-GB"/>
        </w:rPr>
        <w:t>From the perspective of electoral integrity, it is particularly important that sanctioning practic</w:t>
      </w:r>
      <w:r>
        <w:rPr>
          <w:lang w:val="en-GB"/>
        </w:rPr>
        <w:t xml:space="preserve">es be consistent, clear, predictable and applied equally to all political entities and candidates. Sanctions for prohibited activities should not depend on whether a political entity or candidate had already completed the certification process at the time </w:t>
      </w:r>
      <w:r>
        <w:rPr>
          <w:lang w:val="en-GB"/>
        </w:rPr>
        <w:t>of the offence, where the statutory ban explicitly begins on the day elections are called.</w:t>
      </w:r>
    </w:p>
    <w:p w:rsidR="00942DF7" w:rsidRDefault="00887F79">
      <w:r>
        <w:rPr>
          <w:lang w:val="en-GB"/>
        </w:rPr>
        <w:br w:type="page"/>
      </w:r>
    </w:p>
    <w:p w:rsidR="00942DF7" w:rsidRDefault="00887F79">
      <w:pPr>
        <w:pStyle w:val="Heading1"/>
      </w:pPr>
      <w:r>
        <w:rPr>
          <w:lang w:val="en-GB"/>
        </w:rPr>
        <w:lastRenderedPageBreak/>
        <w:t>Misuse of children for political purposes</w:t>
      </w:r>
    </w:p>
    <w:p w:rsidR="00942DF7" w:rsidRDefault="00887F79">
      <w:r>
        <w:rPr>
          <w:lang w:val="en-GB"/>
        </w:rPr>
        <w:t>The misuse of children for political purposes is one of the most sensitive, yet insufficiently sanctioned, electoral irre</w:t>
      </w:r>
      <w:r>
        <w:rPr>
          <w:lang w:val="en-GB"/>
        </w:rPr>
        <w:t>gularities. Although this practice has existed for years, the 2024 amendments to the Election Law of BiH finally recognised it as a problem in the electoral process and formally defined it in law. However, the mere existence of a legal provision is clearly</w:t>
      </w:r>
      <w:r>
        <w:rPr>
          <w:lang w:val="en-GB"/>
        </w:rPr>
        <w:t xml:space="preserve"> insufficient if its application remains inconsistent, unclear and dependent on circumstances that have no logical connection to the substance of the statutory prohibition.</w:t>
      </w:r>
    </w:p>
    <w:p w:rsidR="00942DF7" w:rsidRDefault="00887F79">
      <w:r>
        <w:rPr>
          <w:lang w:val="en-GB"/>
        </w:rPr>
        <w:t>It is concerning that the number of sanctions for this type of electoral irregulari</w:t>
      </w:r>
      <w:r>
        <w:rPr>
          <w:lang w:val="en-GB"/>
        </w:rPr>
        <w:t>ty remains extremely low. Even more concerning are the inconsistencies emerging in sanctioning practices during the current electoral cycle.</w:t>
      </w:r>
    </w:p>
    <w:p w:rsidR="00942DF7" w:rsidRDefault="00887F79">
      <w:r>
        <w:rPr>
          <w:lang w:val="en-GB"/>
        </w:rPr>
        <w:t xml:space="preserve">The most frequently recorded form of misuse of children involves political entities or their supporters organising </w:t>
      </w:r>
      <w:r>
        <w:rPr>
          <w:lang w:val="en-GB"/>
        </w:rPr>
        <w:t>visits to families, often distributing gifts, after which children under the age of 18 are photographed or filmed and the material is published on social media and/or other online platforms. In this way, the presence of children becomes an integral part of</w:t>
      </w:r>
      <w:r>
        <w:rPr>
          <w:lang w:val="en-GB"/>
        </w:rPr>
        <w:t xml:space="preserve"> political promotion, with the clear intention of generating a positive emotional response towards the political entity or supporter.</w:t>
      </w:r>
    </w:p>
    <w:p w:rsidR="00942DF7" w:rsidRDefault="00887F79">
      <w:r>
        <w:rPr>
          <w:lang w:val="en-GB"/>
        </w:rPr>
        <w:t>It is important to be entirely clear: the misuse of a child does not necessarily involve a child directly reciting a sloga</w:t>
      </w:r>
      <w:r>
        <w:rPr>
          <w:lang w:val="en-GB"/>
        </w:rPr>
        <w:t xml:space="preserve">n or calling on citizens to vote for a particular political option. Such a superficial and narrow interpretation misses the point. A child can also be misused when their image, presence or the emotional value associated with them is deliberately exploited </w:t>
      </w:r>
      <w:r>
        <w:rPr>
          <w:lang w:val="en-GB"/>
        </w:rPr>
        <w:t>as an instrument of political promotion.</w:t>
      </w:r>
    </w:p>
    <w:p w:rsidR="00942DF7" w:rsidRDefault="00887F79">
      <w:r>
        <w:rPr>
          <w:lang w:val="en-GB"/>
        </w:rPr>
        <w:t>Earlier practice recognised this, at least in part. In previous electoral cycles, political entities were sanctioned for using the presence of children for political purposes, on the grounds that the children had be</w:t>
      </w:r>
      <w:r>
        <w:rPr>
          <w:lang w:val="en-GB"/>
        </w:rPr>
        <w:t xml:space="preserve">en used to create a positive image of the political entity and indirectly influence voters’ emotions. Some decisions explicitly stated that the Election Law of BiH had been violated and that the best interests of the child — a fundamental principle of the </w:t>
      </w:r>
      <w:r>
        <w:rPr>
          <w:lang w:val="en-GB"/>
        </w:rPr>
        <w:t>Convention on the Rights of the Child and other international and domestic child-protection legislation — had not been respected. Earlier warnings by the Institution of Human Rights Ombudsman of Bosnia and Herzegovina about the need to provide special prot</w:t>
      </w:r>
      <w:r>
        <w:rPr>
          <w:lang w:val="en-GB"/>
        </w:rPr>
        <w:t>ection against the misuse of children were also cited.</w:t>
      </w:r>
    </w:p>
    <w:p w:rsidR="00942DF7" w:rsidRDefault="00887F79">
      <w:r>
        <w:rPr>
          <w:lang w:val="en-GB"/>
        </w:rPr>
        <w:t>However, current practice represents a step backwards. In this electoral cycle, seemingly similar situations — family visits and the public posting of photographs and videos of children under the age o</w:t>
      </w:r>
      <w:r>
        <w:rPr>
          <w:lang w:val="en-GB"/>
        </w:rPr>
        <w:t>f 18 — are, in some cases, no longer treated as misuse of children. Instead, these activities are interpreted as emphasising the importance of family and parenthood and creating better living conditions for families with children, leading to the conclusion</w:t>
      </w:r>
      <w:r>
        <w:rPr>
          <w:lang w:val="en-GB"/>
        </w:rPr>
        <w:t xml:space="preserve"> that there are no elements of a violation of the Election Law.</w:t>
      </w:r>
    </w:p>
    <w:p w:rsidR="00942DF7" w:rsidRDefault="00887F79">
      <w:r>
        <w:rPr>
          <w:lang w:val="en-GB"/>
        </w:rPr>
        <w:t>This reasoning raises an extremely serious question: at what point does political promotion become “emphasising the importance of family”, and what criterion is used to determine whether a chi</w:t>
      </w:r>
      <w:r>
        <w:rPr>
          <w:lang w:val="en-GB"/>
        </w:rPr>
        <w:t>ld has been used for political purposes?</w:t>
      </w:r>
    </w:p>
    <w:p w:rsidR="00942DF7" w:rsidRDefault="00887F79">
      <w:r>
        <w:rPr>
          <w:lang w:val="en-GB"/>
        </w:rPr>
        <w:t>Particularly troubling are explanations offered by some political entities that there is no violation because the presence of a child does not constitute a direct appeal for support for a political party, or because</w:t>
      </w:r>
      <w:r>
        <w:rPr>
          <w:lang w:val="en-GB"/>
        </w:rPr>
        <w:t xml:space="preserve"> a three- or four-year-old child cannot, in their own right, advocate voting for a particular political option. Such arguments completely miss the substance of the problem. No serious person claims that a three- or four-year-old child can conduct a politic</w:t>
      </w:r>
      <w:r>
        <w:rPr>
          <w:lang w:val="en-GB"/>
        </w:rPr>
        <w:t>al campaign. On the contrary, the problem arises when adults use a child as an emotional instrument in their own political promotion.</w:t>
      </w:r>
    </w:p>
    <w:p w:rsidR="00942DF7" w:rsidRDefault="00887F79">
      <w:r>
        <w:rPr>
          <w:lang w:val="en-GB"/>
        </w:rPr>
        <w:t xml:space="preserve">A positive development, however, is that following the Coalition’s public response, another sanction was imposed for this </w:t>
      </w:r>
      <w:r>
        <w:rPr>
          <w:lang w:val="en-GB"/>
        </w:rPr>
        <w:t>type of electoral irregularity. This may indicate that the CEC BiH could resume sanctioning such cases in the period ahead.</w:t>
      </w:r>
    </w:p>
    <w:p w:rsidR="00942DF7" w:rsidRDefault="00887F79">
      <w:r>
        <w:rPr>
          <w:lang w:val="en-GB"/>
        </w:rPr>
        <w:lastRenderedPageBreak/>
        <w:t>So far, cases involving children shown in a playground and a school have been sanctioned, as it was established that the children ha</w:t>
      </w:r>
      <w:r>
        <w:rPr>
          <w:lang w:val="en-GB"/>
        </w:rPr>
        <w:t>d been used, as a vulnerable group in society, for political promotion. In reaching those decisions, the Election Law of BiH, the Convention on the Rights of the Child and other relevant international and domestic legislation were again taken into account.</w:t>
      </w:r>
    </w:p>
    <w:p w:rsidR="00942DF7" w:rsidRDefault="00887F79">
      <w:r>
        <w:rPr>
          <w:lang w:val="en-GB"/>
        </w:rPr>
        <w:t>However, a fully justified question arises: under current practice, must children be in a playground or a school for their use to be recognised as misuse, while the same children in a yard, living room or family home cease to be protected merely because t</w:t>
      </w:r>
      <w:r>
        <w:rPr>
          <w:lang w:val="en-GB"/>
        </w:rPr>
        <w:t>he filming location has changed?</w:t>
      </w:r>
    </w:p>
    <w:p w:rsidR="00942DF7" w:rsidRDefault="00887F79">
      <w:r>
        <w:rPr>
          <w:lang w:val="en-GB"/>
        </w:rPr>
        <w:t>The assessment of the “Pod lupom” Coalition is clear: inconsistent sanctioning practices create a serious legal vacuum and leave political entities room to misuse children under various pretexts. If the same conduct constit</w:t>
      </w:r>
      <w:r>
        <w:rPr>
          <w:lang w:val="en-GB"/>
        </w:rPr>
        <w:t>utes prohibited political promotion in one case and “promotion of family values” in another, there is every right to demand a clear, consistent and reasoned explanation of that distinction.</w:t>
      </w:r>
    </w:p>
    <w:p w:rsidR="00942DF7" w:rsidRDefault="00887F79">
      <w:r>
        <w:rPr>
          <w:lang w:val="en-GB"/>
        </w:rPr>
        <w:t>Children are not political props. They are not tools for winning s</w:t>
      </w:r>
      <w:r>
        <w:rPr>
          <w:lang w:val="en-GB"/>
        </w:rPr>
        <w:t>ympathy. They are not a means of creating a warmer, more positive image of a candidate or political party. The “Pod lupom” Coalition therefore expects the legal provisions protecting children from political misuse to be applied consistently, on principle a</w:t>
      </w:r>
      <w:r>
        <w:rPr>
          <w:lang w:val="en-GB"/>
        </w:rPr>
        <w:t>nd in accordance with their actual purpose. Every decision must start from the best interests of the child rather than formalistic questions.</w:t>
      </w:r>
    </w:p>
    <w:p w:rsidR="00942DF7" w:rsidRDefault="00887F79">
      <w:r>
        <w:rPr>
          <w:lang w:val="en-GB"/>
        </w:rPr>
        <w:t>If this practice continues, there is a risk that legal protection for children will remain merely declaratory, whi</w:t>
      </w:r>
      <w:r>
        <w:rPr>
          <w:lang w:val="en-GB"/>
        </w:rPr>
        <w:t>le political entities continue finding new ways to use children in campaigns without consequences.</w:t>
      </w:r>
    </w:p>
    <w:p w:rsidR="00942DF7" w:rsidRDefault="00887F79">
      <w:r>
        <w:rPr>
          <w:lang w:val="en-GB"/>
        </w:rPr>
        <w:br w:type="page"/>
      </w:r>
    </w:p>
    <w:p w:rsidR="00942DF7" w:rsidRDefault="00887F79">
      <w:pPr>
        <w:pStyle w:val="Heading2"/>
      </w:pPr>
      <w:r>
        <w:rPr>
          <w:lang w:val="en-GB"/>
        </w:rPr>
        <w:lastRenderedPageBreak/>
        <w:t>Inconsistent sanctions for the misuse of children for political purposes</w:t>
      </w:r>
    </w:p>
    <w:p w:rsidR="00942DF7" w:rsidRDefault="00887F79">
      <w:pPr>
        <w:jc w:val="center"/>
      </w:pPr>
      <w:r>
        <w:rPr>
          <w:noProof/>
        </w:rPr>
        <w:drawing>
          <wp:inline distT="0" distB="0" distL="0" distR="0">
            <wp:extent cx="1188000" cy="117679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e10_0.png"/>
                    <pic:cNvPicPr/>
                  </pic:nvPicPr>
                  <pic:blipFill>
                    <a:blip r:embed="rId21"/>
                    <a:stretch>
                      <a:fillRect/>
                    </a:stretch>
                  </pic:blipFill>
                  <pic:spPr>
                    <a:xfrm>
                      <a:off x="0" y="0"/>
                      <a:ext cx="1188000" cy="1176792"/>
                    </a:xfrm>
                    <a:prstGeom prst="rect">
                      <a:avLst/>
                    </a:prstGeom>
                  </pic:spPr>
                </pic:pic>
              </a:graphicData>
            </a:graphic>
          </wp:inline>
        </w:drawing>
      </w:r>
      <w:r>
        <w:rPr>
          <w:lang w:val="en-GB"/>
        </w:rPr>
        <w:t xml:space="preserve">  </w:t>
      </w:r>
      <w:r>
        <w:rPr>
          <w:noProof/>
        </w:rPr>
        <w:drawing>
          <wp:inline distT="0" distB="0" distL="0" distR="0">
            <wp:extent cx="1188000" cy="116579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e10_1.png"/>
                    <pic:cNvPicPr/>
                  </pic:nvPicPr>
                  <pic:blipFill>
                    <a:blip r:embed="rId22"/>
                    <a:stretch>
                      <a:fillRect/>
                    </a:stretch>
                  </pic:blipFill>
                  <pic:spPr>
                    <a:xfrm>
                      <a:off x="0" y="0"/>
                      <a:ext cx="1188000" cy="1165794"/>
                    </a:xfrm>
                    <a:prstGeom prst="rect">
                      <a:avLst/>
                    </a:prstGeom>
                  </pic:spPr>
                </pic:pic>
              </a:graphicData>
            </a:graphic>
          </wp:inline>
        </w:drawing>
      </w:r>
      <w:r>
        <w:rPr>
          <w:lang w:val="en-GB"/>
        </w:rPr>
        <w:t xml:space="preserve">  </w:t>
      </w:r>
      <w:r>
        <w:rPr>
          <w:noProof/>
        </w:rPr>
        <w:drawing>
          <wp:inline distT="0" distB="0" distL="0" distR="0">
            <wp:extent cx="1188000" cy="118236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e10_2.png"/>
                    <pic:cNvPicPr/>
                  </pic:nvPicPr>
                  <pic:blipFill>
                    <a:blip r:embed="rId23"/>
                    <a:stretch>
                      <a:fillRect/>
                    </a:stretch>
                  </pic:blipFill>
                  <pic:spPr>
                    <a:xfrm>
                      <a:off x="0" y="0"/>
                      <a:ext cx="1188000" cy="1182369"/>
                    </a:xfrm>
                    <a:prstGeom prst="rect">
                      <a:avLst/>
                    </a:prstGeom>
                  </pic:spPr>
                </pic:pic>
              </a:graphicData>
            </a:graphic>
          </wp:inline>
        </w:drawing>
      </w:r>
      <w:r>
        <w:rPr>
          <w:lang w:val="en-GB"/>
        </w:rPr>
        <w:t xml:space="preserve">  </w:t>
      </w:r>
      <w:r>
        <w:rPr>
          <w:noProof/>
        </w:rPr>
        <w:drawing>
          <wp:inline distT="0" distB="0" distL="0" distR="0">
            <wp:extent cx="1188000" cy="113917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e10_3.png"/>
                    <pic:cNvPicPr/>
                  </pic:nvPicPr>
                  <pic:blipFill>
                    <a:blip r:embed="rId24"/>
                    <a:stretch>
                      <a:fillRect/>
                    </a:stretch>
                  </pic:blipFill>
                  <pic:spPr>
                    <a:xfrm>
                      <a:off x="0" y="0"/>
                      <a:ext cx="1188000" cy="1139177"/>
                    </a:xfrm>
                    <a:prstGeom prst="rect">
                      <a:avLst/>
                    </a:prstGeom>
                  </pic:spPr>
                </pic:pic>
              </a:graphicData>
            </a:graphic>
          </wp:inline>
        </w:drawing>
      </w:r>
      <w:r>
        <w:rPr>
          <w:lang w:val="en-GB"/>
        </w:rPr>
        <w:t xml:space="preserve">  </w:t>
      </w:r>
    </w:p>
    <w:tbl>
      <w:tblPr>
        <w:tblW w:w="0" w:type="auto"/>
        <w:tblLayout w:type="fixed"/>
        <w:tblLook w:val="04A0" w:firstRow="1" w:lastRow="0" w:firstColumn="1" w:lastColumn="0" w:noHBand="0" w:noVBand="1"/>
      </w:tblPr>
      <w:tblGrid>
        <w:gridCol w:w="4706"/>
        <w:gridCol w:w="4706"/>
      </w:tblGrid>
      <w:tr w:rsidR="00942DF7">
        <w:trPr>
          <w:cantSplit/>
          <w:tblHeader/>
        </w:trPr>
        <w:tc>
          <w:tcPr>
            <w:tcW w:w="4706"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942DF7" w:rsidRDefault="00887F79">
            <w:pPr>
              <w:spacing w:before="40" w:after="40" w:line="240" w:lineRule="auto"/>
            </w:pPr>
            <w:r>
              <w:rPr>
                <w:b/>
                <w:color w:val="FFFFFF"/>
                <w:sz w:val="20"/>
              </w:rPr>
              <w:t>Situation</w:t>
            </w:r>
          </w:p>
        </w:tc>
        <w:tc>
          <w:tcPr>
            <w:tcW w:w="4706"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942DF7" w:rsidRDefault="00887F79">
            <w:pPr>
              <w:spacing w:before="40" w:after="40" w:line="240" w:lineRule="auto"/>
            </w:pPr>
            <w:r>
              <w:rPr>
                <w:b/>
                <w:color w:val="FFFFFF"/>
                <w:sz w:val="20"/>
              </w:rPr>
              <w:t>Treatment and sanction</w:t>
            </w:r>
          </w:p>
        </w:tc>
      </w:tr>
      <w:tr w:rsidR="00942DF7">
        <w:trPr>
          <w:cantSplit/>
        </w:trPr>
        <w:tc>
          <w:tcPr>
            <w:tcW w:w="4706"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 xml:space="preserve">Family visits, gift distribution </w:t>
            </w:r>
            <w:r>
              <w:rPr>
                <w:sz w:val="20"/>
              </w:rPr>
              <w:t>and publication of photographs of children — 2025</w:t>
            </w:r>
          </w:p>
        </w:tc>
        <w:tc>
          <w:tcPr>
            <w:tcW w:w="4706"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Recognised as misuse: children used to create a positive image and indirectly influence voters’ emotions. Sanctions: BAM 6,500 for the party and BAM 4,500 for the candidate.</w:t>
            </w:r>
          </w:p>
        </w:tc>
      </w:tr>
      <w:tr w:rsidR="00942DF7">
        <w:trPr>
          <w:cantSplit/>
        </w:trPr>
        <w:tc>
          <w:tcPr>
            <w:tcW w:w="470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 xml:space="preserve">Family visits, gift </w:t>
            </w:r>
            <w:r>
              <w:rPr>
                <w:sz w:val="20"/>
              </w:rPr>
              <w:t>distribution and publication of photographs of children — 2026</w:t>
            </w:r>
          </w:p>
        </w:tc>
        <w:tc>
          <w:tcPr>
            <w:tcW w:w="470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Not recognised as misuse: treated as emphasising the importance of family and parenthood and improving living conditions for families with children. No sanction imposed.</w:t>
            </w:r>
          </w:p>
        </w:tc>
      </w:tr>
      <w:tr w:rsidR="00942DF7">
        <w:trPr>
          <w:cantSplit/>
        </w:trPr>
        <w:tc>
          <w:tcPr>
            <w:tcW w:w="4706"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Family visit and publi</w:t>
            </w:r>
            <w:r>
              <w:rPr>
                <w:sz w:val="20"/>
              </w:rPr>
              <w:t>cation of photographs of children, following the Coalition’s response</w:t>
            </w:r>
          </w:p>
        </w:tc>
        <w:tc>
          <w:tcPr>
            <w:tcW w:w="4706"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Children used to create a positive image and indirectly influence voters’ emotions. Sanction: BAM 10,000 for the party.</w:t>
            </w:r>
          </w:p>
        </w:tc>
      </w:tr>
      <w:tr w:rsidR="00942DF7">
        <w:trPr>
          <w:cantSplit/>
        </w:trPr>
        <w:tc>
          <w:tcPr>
            <w:tcW w:w="470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Children photographed in a playground for political promotion — 2</w:t>
            </w:r>
            <w:r>
              <w:rPr>
                <w:sz w:val="20"/>
              </w:rPr>
              <w:t>026</w:t>
            </w:r>
          </w:p>
        </w:tc>
        <w:tc>
          <w:tcPr>
            <w:tcW w:w="4706"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Recognised as misuse. Sanction: BAM 6,500 for the party.</w:t>
            </w:r>
          </w:p>
        </w:tc>
      </w:tr>
      <w:tr w:rsidR="00942DF7">
        <w:trPr>
          <w:cantSplit/>
        </w:trPr>
        <w:tc>
          <w:tcPr>
            <w:tcW w:w="4706"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Children photographed at a school for political promotion — 2026</w:t>
            </w:r>
          </w:p>
        </w:tc>
        <w:tc>
          <w:tcPr>
            <w:tcW w:w="4706"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Recognised as misuse. Sanction: BAM 6,000 for the party.</w:t>
            </w:r>
          </w:p>
        </w:tc>
      </w:tr>
    </w:tbl>
    <w:p w:rsidR="00942DF7" w:rsidRDefault="00942DF7">
      <w:pPr>
        <w:spacing w:after="0"/>
      </w:pPr>
    </w:p>
    <w:p w:rsidR="00942DF7" w:rsidRDefault="00887F79">
      <w:pPr>
        <w:jc w:val="center"/>
      </w:pPr>
      <w:r>
        <w:rPr>
          <w:noProof/>
        </w:rPr>
        <w:drawing>
          <wp:inline distT="0" distB="0" distL="0" distR="0">
            <wp:extent cx="1332000" cy="136297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e11_0.png"/>
                    <pic:cNvPicPr/>
                  </pic:nvPicPr>
                  <pic:blipFill>
                    <a:blip r:embed="rId25"/>
                    <a:stretch>
                      <a:fillRect/>
                    </a:stretch>
                  </pic:blipFill>
                  <pic:spPr>
                    <a:xfrm>
                      <a:off x="0" y="0"/>
                      <a:ext cx="1332000" cy="1362977"/>
                    </a:xfrm>
                    <a:prstGeom prst="rect">
                      <a:avLst/>
                    </a:prstGeom>
                  </pic:spPr>
                </pic:pic>
              </a:graphicData>
            </a:graphic>
          </wp:inline>
        </w:drawing>
      </w:r>
      <w:r>
        <w:rPr>
          <w:lang w:val="en-GB"/>
        </w:rPr>
        <w:t xml:space="preserve">  </w:t>
      </w:r>
      <w:r>
        <w:rPr>
          <w:noProof/>
        </w:rPr>
        <w:drawing>
          <wp:inline distT="0" distB="0" distL="0" distR="0">
            <wp:extent cx="1332000" cy="1362977"/>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se11_1.png"/>
                    <pic:cNvPicPr/>
                  </pic:nvPicPr>
                  <pic:blipFill>
                    <a:blip r:embed="rId26"/>
                    <a:stretch>
                      <a:fillRect/>
                    </a:stretch>
                  </pic:blipFill>
                  <pic:spPr>
                    <a:xfrm>
                      <a:off x="0" y="0"/>
                      <a:ext cx="1332000" cy="1362977"/>
                    </a:xfrm>
                    <a:prstGeom prst="rect">
                      <a:avLst/>
                    </a:prstGeom>
                  </pic:spPr>
                </pic:pic>
              </a:graphicData>
            </a:graphic>
          </wp:inline>
        </w:drawing>
      </w:r>
      <w:r>
        <w:rPr>
          <w:lang w:val="en-GB"/>
        </w:rPr>
        <w:t xml:space="preserve">  </w:t>
      </w:r>
    </w:p>
    <w:p w:rsidR="00942DF7" w:rsidRDefault="00887F79">
      <w:r>
        <w:rPr>
          <w:lang w:val="en-GB"/>
        </w:rPr>
        <w:t xml:space="preserve">Under current practice, children must be in a playground or a </w:t>
      </w:r>
      <w:r>
        <w:rPr>
          <w:lang w:val="en-GB"/>
        </w:rPr>
        <w:t>school for their use to be recognised as misuse, while the same children in a yard, living room or family home cease to be protected merely because the filming location has changed and the activity is then described as promoting family values.</w:t>
      </w:r>
    </w:p>
    <w:p w:rsidR="00942DF7" w:rsidRDefault="00887F79">
      <w:r>
        <w:rPr>
          <w:lang w:val="en-GB"/>
        </w:rPr>
        <w:br w:type="page"/>
      </w:r>
    </w:p>
    <w:p w:rsidR="00942DF7" w:rsidRDefault="00887F79">
      <w:pPr>
        <w:pStyle w:val="Heading1"/>
      </w:pPr>
      <w:r>
        <w:rPr>
          <w:lang w:val="en-GB"/>
        </w:rPr>
        <w:lastRenderedPageBreak/>
        <w:t>Protection</w:t>
      </w:r>
      <w:r>
        <w:rPr>
          <w:lang w:val="en-GB"/>
        </w:rPr>
        <w:t xml:space="preserve"> of electoral rights</w:t>
      </w:r>
    </w:p>
    <w:p w:rsidR="00942DF7" w:rsidRDefault="00887F79">
      <w:r>
        <w:rPr>
          <w:lang w:val="en-GB"/>
        </w:rPr>
        <w:t>So far, the “Pod lupom” Coalition has reported 596 electoral irregularities and submitted 282 requests for action to the Central Election Commission of BiH. Based on the Coalition’s submissions, the CEC BiH has so far imposed 29 sancti</w:t>
      </w:r>
      <w:r>
        <w:rPr>
          <w:lang w:val="en-GB"/>
        </w:rPr>
        <w:t>ons on political parties and candidates, totalling BAM 286,000.</w:t>
      </w:r>
    </w:p>
    <w:p w:rsidR="00942DF7" w:rsidRDefault="00887F79">
      <w:r>
        <w:rPr>
          <w:lang w:val="en-GB"/>
        </w:rPr>
        <w:t>Unfortunately, most of our submissions are still under consideration (65.6%) or have been rejected (21.6%). Sanctions have been imposed in 10.3% of cases, proceedings have been discontinued in</w:t>
      </w:r>
      <w:r>
        <w:rPr>
          <w:lang w:val="en-GB"/>
        </w:rPr>
        <w:t xml:space="preserve"> 2.1%, and a decision to consolidate cases has been issued in 0.4%.</w:t>
      </w:r>
    </w:p>
    <w:tbl>
      <w:tblPr>
        <w:tblW w:w="0" w:type="auto"/>
        <w:tblLayout w:type="fixed"/>
        <w:tblLook w:val="04A0" w:firstRow="1" w:lastRow="0" w:firstColumn="1" w:lastColumn="0" w:noHBand="0" w:noVBand="1"/>
      </w:tblPr>
      <w:tblGrid>
        <w:gridCol w:w="6860"/>
        <w:gridCol w:w="2551"/>
      </w:tblGrid>
      <w:tr w:rsidR="00942DF7">
        <w:trPr>
          <w:cantSplit/>
          <w:tblHeader/>
        </w:trPr>
        <w:tc>
          <w:tcPr>
            <w:tcW w:w="6860"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942DF7" w:rsidRDefault="00887F79">
            <w:pPr>
              <w:spacing w:before="40" w:after="40" w:line="240" w:lineRule="auto"/>
            </w:pPr>
            <w:r>
              <w:rPr>
                <w:b/>
                <w:color w:val="FFFFFF"/>
                <w:sz w:val="20"/>
              </w:rPr>
              <w:t>Sanctions for electoral irregularities</w:t>
            </w:r>
          </w:p>
        </w:tc>
        <w:tc>
          <w:tcPr>
            <w:tcW w:w="2551"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942DF7" w:rsidRDefault="00887F79">
            <w:pPr>
              <w:spacing w:before="40" w:after="40" w:line="240" w:lineRule="auto"/>
            </w:pPr>
            <w:r>
              <w:rPr>
                <w:b/>
                <w:color w:val="FFFFFF"/>
                <w:sz w:val="20"/>
              </w:rPr>
              <w:t>Total</w:t>
            </w:r>
          </w:p>
        </w:tc>
      </w:tr>
      <w:tr w:rsidR="00942DF7">
        <w:trPr>
          <w:cantSplit/>
        </w:trPr>
        <w:tc>
          <w:tcPr>
            <w:tcW w:w="6860"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Submissions requesting action</w:t>
            </w:r>
          </w:p>
        </w:tc>
        <w:tc>
          <w:tcPr>
            <w:tcW w:w="255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282</w:t>
            </w:r>
          </w:p>
        </w:tc>
      </w:tr>
      <w:tr w:rsidR="00942DF7">
        <w:trPr>
          <w:cantSplit/>
        </w:trPr>
        <w:tc>
          <w:tcPr>
            <w:tcW w:w="686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Reported electoral irregularities</w:t>
            </w:r>
          </w:p>
        </w:tc>
        <w:tc>
          <w:tcPr>
            <w:tcW w:w="255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596</w:t>
            </w:r>
          </w:p>
        </w:tc>
      </w:tr>
      <w:tr w:rsidR="00942DF7">
        <w:trPr>
          <w:cantSplit/>
        </w:trPr>
        <w:tc>
          <w:tcPr>
            <w:tcW w:w="6860"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Sanctions imposed</w:t>
            </w:r>
          </w:p>
        </w:tc>
        <w:tc>
          <w:tcPr>
            <w:tcW w:w="255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BAM 286,000</w:t>
            </w:r>
          </w:p>
        </w:tc>
      </w:tr>
    </w:tbl>
    <w:p w:rsidR="00942DF7" w:rsidRDefault="00942DF7">
      <w:pPr>
        <w:spacing w:after="0"/>
      </w:pPr>
    </w:p>
    <w:tbl>
      <w:tblPr>
        <w:tblW w:w="0" w:type="auto"/>
        <w:tblLayout w:type="fixed"/>
        <w:tblLook w:val="04A0" w:firstRow="1" w:lastRow="0" w:firstColumn="1" w:lastColumn="0" w:noHBand="0" w:noVBand="1"/>
      </w:tblPr>
      <w:tblGrid>
        <w:gridCol w:w="6690"/>
        <w:gridCol w:w="1361"/>
        <w:gridCol w:w="1361"/>
      </w:tblGrid>
      <w:tr w:rsidR="00942DF7">
        <w:trPr>
          <w:cantSplit/>
          <w:tblHeader/>
        </w:trPr>
        <w:tc>
          <w:tcPr>
            <w:tcW w:w="6690"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942DF7" w:rsidRDefault="00887F79">
            <w:pPr>
              <w:spacing w:before="40" w:after="40" w:line="240" w:lineRule="auto"/>
            </w:pPr>
            <w:r>
              <w:rPr>
                <w:b/>
                <w:color w:val="FFFFFF"/>
                <w:sz w:val="20"/>
              </w:rPr>
              <w:t xml:space="preserve">Action taken on the Coalition’s </w:t>
            </w:r>
            <w:r>
              <w:rPr>
                <w:b/>
                <w:color w:val="FFFFFF"/>
                <w:sz w:val="20"/>
              </w:rPr>
              <w:t>reports</w:t>
            </w:r>
          </w:p>
        </w:tc>
        <w:tc>
          <w:tcPr>
            <w:tcW w:w="1361"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942DF7" w:rsidRDefault="00887F79">
            <w:pPr>
              <w:spacing w:before="40" w:after="40" w:line="240" w:lineRule="auto"/>
            </w:pPr>
            <w:r>
              <w:rPr>
                <w:b/>
                <w:color w:val="FFFFFF"/>
                <w:sz w:val="20"/>
              </w:rPr>
              <w:t>Cases</w:t>
            </w:r>
          </w:p>
        </w:tc>
        <w:tc>
          <w:tcPr>
            <w:tcW w:w="1361"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942DF7" w:rsidRDefault="00887F79">
            <w:pPr>
              <w:spacing w:before="40" w:after="40" w:line="240" w:lineRule="auto"/>
            </w:pPr>
            <w:r>
              <w:rPr>
                <w:b/>
                <w:color w:val="FFFFFF"/>
                <w:sz w:val="20"/>
              </w:rPr>
              <w:t>Share</w:t>
            </w:r>
          </w:p>
        </w:tc>
      </w:tr>
      <w:tr w:rsidR="00942DF7">
        <w:trPr>
          <w:cantSplit/>
        </w:trPr>
        <w:tc>
          <w:tcPr>
            <w:tcW w:w="6690"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Under consideration</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185</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65.6%</w:t>
            </w:r>
          </w:p>
        </w:tc>
      </w:tr>
      <w:tr w:rsidR="00942DF7">
        <w:trPr>
          <w:cantSplit/>
        </w:trPr>
        <w:tc>
          <w:tcPr>
            <w:tcW w:w="669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Rejected submissions</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61</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21.63%</w:t>
            </w:r>
          </w:p>
        </w:tc>
      </w:tr>
      <w:tr w:rsidR="00942DF7">
        <w:trPr>
          <w:cantSplit/>
        </w:trPr>
        <w:tc>
          <w:tcPr>
            <w:tcW w:w="6690"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Sanctions imposed</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29</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10.28%</w:t>
            </w:r>
          </w:p>
        </w:tc>
      </w:tr>
      <w:tr w:rsidR="00942DF7">
        <w:trPr>
          <w:cantSplit/>
        </w:trPr>
        <w:tc>
          <w:tcPr>
            <w:tcW w:w="669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Proceedings discontinued</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6</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2.13%</w:t>
            </w:r>
          </w:p>
        </w:tc>
      </w:tr>
      <w:tr w:rsidR="00942DF7">
        <w:trPr>
          <w:cantSplit/>
        </w:trPr>
        <w:tc>
          <w:tcPr>
            <w:tcW w:w="6690"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Decision to consolidate cases</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1</w:t>
            </w:r>
          </w:p>
        </w:tc>
        <w:tc>
          <w:tcPr>
            <w:tcW w:w="1361"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0.35%</w:t>
            </w:r>
          </w:p>
        </w:tc>
      </w:tr>
      <w:tr w:rsidR="00942DF7">
        <w:trPr>
          <w:cantSplit/>
        </w:trPr>
        <w:tc>
          <w:tcPr>
            <w:tcW w:w="669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Total</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282</w:t>
            </w:r>
          </w:p>
        </w:tc>
        <w:tc>
          <w:tcPr>
            <w:tcW w:w="13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942DF7">
            <w:pPr>
              <w:spacing w:before="40" w:after="40" w:line="240" w:lineRule="auto"/>
            </w:pPr>
          </w:p>
        </w:tc>
      </w:tr>
    </w:tbl>
    <w:p w:rsidR="00942DF7" w:rsidRDefault="00942DF7">
      <w:pPr>
        <w:spacing w:after="0"/>
      </w:pPr>
    </w:p>
    <w:p w:rsidR="00942DF7" w:rsidRDefault="00887F79">
      <w:r>
        <w:rPr>
          <w:lang w:val="en-GB"/>
        </w:rPr>
        <w:br w:type="page"/>
      </w:r>
    </w:p>
    <w:p w:rsidR="00942DF7" w:rsidRDefault="00887F79">
      <w:pPr>
        <w:pStyle w:val="Heading1"/>
      </w:pPr>
      <w:r>
        <w:rPr>
          <w:lang w:val="en-GB"/>
        </w:rPr>
        <w:lastRenderedPageBreak/>
        <w:t>Work of local election commissions</w:t>
      </w:r>
    </w:p>
    <w:p w:rsidR="00942DF7" w:rsidRDefault="00887F79">
      <w:r>
        <w:rPr>
          <w:lang w:val="en-GB"/>
        </w:rPr>
        <w:t>In the first week of</w:t>
      </w:r>
      <w:r>
        <w:rPr>
          <w:lang w:val="en-GB"/>
        </w:rPr>
        <w:t xml:space="preserve"> the observation mission, which began on 27 July 2026, the “Pod lupom” Coalition also monitored the work of local election commissions. The data below relate exclusively to observation findings from that first week, up to and including 31 July 2026.</w:t>
      </w:r>
    </w:p>
    <w:p w:rsidR="00942DF7" w:rsidRDefault="00887F79">
      <w:pPr>
        <w:pStyle w:val="Heading2"/>
      </w:pPr>
      <w:r>
        <w:rPr>
          <w:lang w:val="en-GB"/>
        </w:rPr>
        <w:t>Recorded concerns or complaints about whether the Central Voter Register and its extracts are up to date</w:t>
      </w:r>
    </w:p>
    <w:p w:rsidR="00942DF7" w:rsidRDefault="00887F79">
      <w:r>
        <w:rPr>
          <w:lang w:val="en-GB"/>
        </w:rPr>
        <w:t>Bihać, Bosanski Petrovac, Bužim, Ključ, Sanski Most, Velika Kladuša, Vlasenica</w:t>
      </w:r>
    </w:p>
    <w:p w:rsidR="00942DF7" w:rsidRDefault="00887F79">
      <w:pPr>
        <w:pStyle w:val="Heading2"/>
      </w:pPr>
      <w:r>
        <w:rPr>
          <w:lang w:val="en-GB"/>
        </w:rPr>
        <w:t>Recorded challenges in implementing new election technologies</w:t>
      </w:r>
    </w:p>
    <w:p w:rsidR="00942DF7" w:rsidRDefault="00887F79">
      <w:r>
        <w:rPr>
          <w:lang w:val="en-GB"/>
        </w:rPr>
        <w:t>Doboj Jug,</w:t>
      </w:r>
      <w:r>
        <w:rPr>
          <w:lang w:val="en-GB"/>
        </w:rPr>
        <w:t xml:space="preserve"> Maglaj, Novo Goražde, Tešanj, Usora, Vareš, Visoko, Zavidovići, Zenica</w:t>
      </w:r>
    </w:p>
    <w:p w:rsidR="00942DF7" w:rsidRDefault="00887F79">
      <w:pPr>
        <w:pStyle w:val="Heading2"/>
      </w:pPr>
      <w:r>
        <w:rPr>
          <w:lang w:val="en-GB"/>
        </w:rPr>
        <w:t>The local election commission has vacancies</w:t>
      </w:r>
    </w:p>
    <w:p w:rsidR="00942DF7" w:rsidRDefault="00887F79">
      <w:r>
        <w:rPr>
          <w:lang w:val="en-GB"/>
        </w:rPr>
        <w:t>Novo Sarajevo, Oštra Luka</w:t>
      </w:r>
    </w:p>
    <w:p w:rsidR="00942DF7" w:rsidRDefault="00887F79">
      <w:pPr>
        <w:pStyle w:val="Heading2"/>
      </w:pPr>
      <w:r>
        <w:rPr>
          <w:lang w:val="en-GB"/>
        </w:rPr>
        <w:t>Each sex is not represented by at least 40% of local election commission members (at least 1 of 3, 2 of 5, or 3 of</w:t>
      </w:r>
      <w:r>
        <w:rPr>
          <w:lang w:val="en-GB"/>
        </w:rPr>
        <w:t xml:space="preserve"> 7 members must be of the other sex).</w:t>
      </w:r>
    </w:p>
    <w:p w:rsidR="00942DF7" w:rsidRDefault="00887F79">
      <w:r>
        <w:rPr>
          <w:lang w:val="en-GB"/>
        </w:rPr>
        <w:t>Banja Luka, Brod, Centar Sarajevo, Drvar, Fojnica, Kalinovik, Kupres (FBiH), Novi Grad Sarajevo, Oštra Luka, Srbac, Vogošća</w:t>
      </w:r>
    </w:p>
    <w:p w:rsidR="00942DF7" w:rsidRDefault="00887F79">
      <w:pPr>
        <w:pStyle w:val="Heading2"/>
      </w:pPr>
      <w:r>
        <w:rPr>
          <w:lang w:val="en-GB"/>
        </w:rPr>
        <w:t>The local election commission has no secretary.</w:t>
      </w:r>
    </w:p>
    <w:p w:rsidR="00942DF7" w:rsidRDefault="00887F79">
      <w:r>
        <w:rPr>
          <w:lang w:val="en-GB"/>
        </w:rPr>
        <w:t xml:space="preserve">Berkovići, Bijeljina, Bileća, Bosanska Krupa, </w:t>
      </w:r>
      <w:r>
        <w:rPr>
          <w:lang w:val="en-GB"/>
        </w:rPr>
        <w:t>Bosansko Grahovo, Brod, Cazin, Čitluk, Dobretići, Donji Vakuf, Fojnica, Gacko, Glamoč, Han Pijesak, Istočni Mostar, Istočni Stari Grad, Istočno Novo Sarajevo, Jajce, Kalinovik, Kiseljak, Kostajnica, Krupa na Uni, Kupres (FBiH), Kupres (RS), Livno, Ljubinje</w:t>
      </w:r>
      <w:r>
        <w:rPr>
          <w:lang w:val="en-GB"/>
        </w:rPr>
        <w:t>, Milići, Neum, Nevesinje, Novi Travnik, Novo Goražde, Osmaci, Oštra Luka, Pale (FBiH), Prijedor, Prozor-Rama, Rogatica, Sanski Most, Šekovići, Sokolac, Srbac, Srebrenica, Tomislavgrad, Trebinje, Trnovo (FBiH), Trnovo (RS), Ugljevik, Usora, Višegrad, Vitez</w:t>
      </w:r>
      <w:r>
        <w:rPr>
          <w:lang w:val="en-GB"/>
        </w:rPr>
        <w:t>, Vogošća</w:t>
      </w:r>
    </w:p>
    <w:p w:rsidR="00942DF7" w:rsidRDefault="00887F79">
      <w:pPr>
        <w:pStyle w:val="Heading2"/>
      </w:pPr>
      <w:r>
        <w:rPr>
          <w:lang w:val="en-GB"/>
        </w:rPr>
        <w:t>The local election commission does not operate in adequate working conditions (suitable premises, funding, equipment, etc.).</w:t>
      </w:r>
    </w:p>
    <w:p w:rsidR="00942DF7" w:rsidRDefault="00887F79">
      <w:r>
        <w:rPr>
          <w:lang w:val="en-GB"/>
        </w:rPr>
        <w:t>Bijeljina, Bosansko Grahovo, Brčko District of BiH, Centar Sarajevo, Gacko, Ključ, Kozarska Dubica, Kupres (RS), Novi Tra</w:t>
      </w:r>
      <w:r>
        <w:rPr>
          <w:lang w:val="en-GB"/>
        </w:rPr>
        <w:t>vnik, Prozor-Rama, Sanski Most, Ugljevik, Vitez, Vlasenica</w:t>
      </w:r>
    </w:p>
    <w:p w:rsidR="00942DF7" w:rsidRDefault="00887F79">
      <w:pPr>
        <w:pStyle w:val="Heading2"/>
      </w:pPr>
      <w:r>
        <w:rPr>
          <w:lang w:val="en-GB"/>
        </w:rPr>
        <w:t>The local election commission has not adopted its Rules of Procedure.</w:t>
      </w:r>
    </w:p>
    <w:p w:rsidR="00942DF7" w:rsidRDefault="00887F79">
      <w:r>
        <w:rPr>
          <w:lang w:val="en-GB"/>
        </w:rPr>
        <w:t>Milići</w:t>
      </w:r>
    </w:p>
    <w:p w:rsidR="00942DF7" w:rsidRDefault="00887F79">
      <w:pPr>
        <w:pStyle w:val="Heading2"/>
      </w:pPr>
      <w:r>
        <w:rPr>
          <w:lang w:val="en-GB"/>
        </w:rPr>
        <w:t>The voter registration centre is not accessible to citizens.</w:t>
      </w:r>
    </w:p>
    <w:p w:rsidR="00942DF7" w:rsidRDefault="00887F79">
      <w:r>
        <w:rPr>
          <w:lang w:val="en-GB"/>
        </w:rPr>
        <w:t>Prozor-Rama</w:t>
      </w:r>
    </w:p>
    <w:p w:rsidR="00942DF7" w:rsidRDefault="00887F79">
      <w:r>
        <w:rPr>
          <w:lang w:val="en-GB"/>
        </w:rPr>
        <w:br w:type="page"/>
      </w:r>
    </w:p>
    <w:p w:rsidR="00942DF7" w:rsidRDefault="00887F79">
      <w:pPr>
        <w:pStyle w:val="Heading1"/>
      </w:pPr>
      <w:r>
        <w:rPr>
          <w:lang w:val="en-GB"/>
        </w:rPr>
        <w:lastRenderedPageBreak/>
        <w:t>Basic information on the 2026 General Electio</w:t>
      </w:r>
      <w:r>
        <w:rPr>
          <w:lang w:val="en-GB"/>
        </w:rPr>
        <w:t>ns in Bosnia and Herzegovina</w:t>
      </w:r>
    </w:p>
    <w:p w:rsidR="00942DF7" w:rsidRDefault="00887F79">
      <w:pPr>
        <w:pStyle w:val="Heading2"/>
      </w:pPr>
      <w:r>
        <w:rPr>
          <w:lang w:val="en-GB"/>
        </w:rPr>
        <w:t>How often are General Elections held in BiH?</w:t>
      </w:r>
    </w:p>
    <w:p w:rsidR="00942DF7" w:rsidRDefault="00887F79">
      <w:r>
        <w:rPr>
          <w:lang w:val="en-GB"/>
        </w:rPr>
        <w:t>General Elections in Bosnia and Herzegovina are held every four years.</w:t>
      </w:r>
    </w:p>
    <w:p w:rsidR="00942DF7" w:rsidRDefault="00887F79">
      <w:pPr>
        <w:pStyle w:val="Heading2"/>
      </w:pPr>
      <w:r>
        <w:rPr>
          <w:lang w:val="en-GB"/>
        </w:rPr>
        <w:t>When will the 2026 General Elections be held?</w:t>
      </w:r>
    </w:p>
    <w:p w:rsidR="00942DF7" w:rsidRDefault="00887F79">
      <w:r>
        <w:rPr>
          <w:lang w:val="en-GB"/>
        </w:rPr>
        <w:t>General Elections in Bosnia and Herzegovina will be held on Sunda</w:t>
      </w:r>
      <w:r>
        <w:rPr>
          <w:lang w:val="en-GB"/>
        </w:rPr>
        <w:t>y, 4 October 2026.</w:t>
      </w:r>
    </w:p>
    <w:p w:rsidR="00942DF7" w:rsidRDefault="00887F79">
      <w:pPr>
        <w:pStyle w:val="Heading2"/>
      </w:pPr>
      <w:r>
        <w:rPr>
          <w:lang w:val="en-GB"/>
        </w:rPr>
        <w:t>Who is elected in the 2026 General Elections in BiH?</w:t>
      </w:r>
    </w:p>
    <w:p w:rsidR="00942DF7" w:rsidRDefault="00887F79">
      <w:r>
        <w:rPr>
          <w:lang w:val="en-GB"/>
        </w:rPr>
        <w:t>The following are directly elected in the 2026 General Elections:</w:t>
      </w:r>
    </w:p>
    <w:p w:rsidR="00942DF7" w:rsidRDefault="00887F79">
      <w:pPr>
        <w:pStyle w:val="ListBullet"/>
      </w:pPr>
      <w:r>
        <w:rPr>
          <w:lang w:val="en-GB"/>
        </w:rPr>
        <w:t>members of the Presidency of Bosnia and Herzegovina;</w:t>
      </w:r>
    </w:p>
    <w:p w:rsidR="00942DF7" w:rsidRDefault="00887F79">
      <w:pPr>
        <w:pStyle w:val="ListBullet"/>
      </w:pPr>
      <w:r>
        <w:rPr>
          <w:lang w:val="en-GB"/>
        </w:rPr>
        <w:t>members of the House of Representatives of the Parliamentary Asse</w:t>
      </w:r>
      <w:r>
        <w:rPr>
          <w:lang w:val="en-GB"/>
        </w:rPr>
        <w:t>mbly of Bosnia and Herzegovina;</w:t>
      </w:r>
    </w:p>
    <w:p w:rsidR="00942DF7" w:rsidRDefault="00887F79">
      <w:pPr>
        <w:pStyle w:val="ListBullet"/>
      </w:pPr>
      <w:r>
        <w:rPr>
          <w:lang w:val="en-GB"/>
        </w:rPr>
        <w:t>members of the House of Representatives of the Parliament of the Federation of Bosnia and Herzegovina;</w:t>
      </w:r>
    </w:p>
    <w:p w:rsidR="00942DF7" w:rsidRDefault="00887F79">
      <w:pPr>
        <w:pStyle w:val="ListBullet"/>
      </w:pPr>
      <w:r>
        <w:rPr>
          <w:lang w:val="en-GB"/>
        </w:rPr>
        <w:t>members of the National Assembly of Republika Srpska;</w:t>
      </w:r>
    </w:p>
    <w:p w:rsidR="00942DF7" w:rsidRDefault="00887F79">
      <w:pPr>
        <w:pStyle w:val="ListBullet"/>
      </w:pPr>
      <w:r>
        <w:rPr>
          <w:lang w:val="en-GB"/>
        </w:rPr>
        <w:t>the President and Vice-Presidents of Republika Srpska; and</w:t>
      </w:r>
    </w:p>
    <w:p w:rsidR="00942DF7" w:rsidRDefault="00887F79">
      <w:pPr>
        <w:pStyle w:val="ListBullet"/>
      </w:pPr>
      <w:r>
        <w:rPr>
          <w:lang w:val="en-GB"/>
        </w:rPr>
        <w:t xml:space="preserve">members </w:t>
      </w:r>
      <w:r>
        <w:rPr>
          <w:lang w:val="en-GB"/>
        </w:rPr>
        <w:t>of cantonal assemblies in the Federation of Bosnia and Herzegovina.</w:t>
      </w:r>
    </w:p>
    <w:p w:rsidR="00942DF7" w:rsidRDefault="00887F79">
      <w:pPr>
        <w:pStyle w:val="Heading2"/>
      </w:pPr>
      <w:r>
        <w:rPr>
          <w:lang w:val="en-GB"/>
        </w:rPr>
        <w:t>Which electoral system is used in General Elections in BiH?</w:t>
      </w:r>
    </w:p>
    <w:p w:rsidR="00942DF7" w:rsidRDefault="00887F79">
      <w:r>
        <w:rPr>
          <w:lang w:val="en-GB"/>
        </w:rPr>
        <w:t>A plurality electoral system is used to elect the members of the Presidency of Bosnia and Herzegovina and the President and Vice</w:t>
      </w:r>
      <w:r>
        <w:rPr>
          <w:lang w:val="en-GB"/>
        </w:rPr>
        <w:t>-Presidents of Republika Srpska.</w:t>
      </w:r>
    </w:p>
    <w:p w:rsidR="00942DF7" w:rsidRDefault="00887F79">
      <w:r>
        <w:rPr>
          <w:lang w:val="en-GB"/>
        </w:rPr>
        <w:t>A proportional representation system is used to elect members of the House of Representatives of the Parliamentary Assembly of Bosnia and Herzegovina, the House of Representatives of the Parliament of the Federation of Bosn</w:t>
      </w:r>
      <w:r>
        <w:rPr>
          <w:lang w:val="en-GB"/>
        </w:rPr>
        <w:t>ia and Herzegovina, the National Assembly of Republika Srpska, and the cantonal assemblies in the Federation of Bosnia and Herzegovina.</w:t>
      </w:r>
    </w:p>
    <w:p w:rsidR="00942DF7" w:rsidRDefault="00887F79">
      <w:pPr>
        <w:pStyle w:val="Heading2"/>
      </w:pPr>
      <w:r>
        <w:rPr>
          <w:lang w:val="en-GB"/>
        </w:rPr>
        <w:t>Who is responsible for organising and conducting elections in Bosnia and Herzegovina?</w:t>
      </w:r>
    </w:p>
    <w:p w:rsidR="00942DF7" w:rsidRDefault="00887F79">
      <w:r>
        <w:rPr>
          <w:lang w:val="en-GB"/>
        </w:rPr>
        <w:t>The Central Election Commission of</w:t>
      </w:r>
      <w:r>
        <w:rPr>
          <w:lang w:val="en-GB"/>
        </w:rPr>
        <w:t xml:space="preserve"> Bosnia and Herzegovina (CEC BiH) is responsible for organising and conducting elections in Bosnia and Herzegovina. City and municipal election commissions, the Election Commission of Brčko District of BiH and polling station committees also participate in</w:t>
      </w:r>
      <w:r>
        <w:rPr>
          <w:lang w:val="en-GB"/>
        </w:rPr>
        <w:t xml:space="preserve"> administering elections in accordance with their statutory responsibilities.</w:t>
      </w:r>
    </w:p>
    <w:p w:rsidR="00942DF7" w:rsidRDefault="00887F79">
      <w:pPr>
        <w:pStyle w:val="Heading2"/>
      </w:pPr>
      <w:r>
        <w:rPr>
          <w:lang w:val="en-GB"/>
        </w:rPr>
        <w:t>What is the official website for elections in Bosnia and Herzegovina?</w:t>
      </w:r>
    </w:p>
    <w:p w:rsidR="00942DF7" w:rsidRDefault="00887F79">
      <w:r>
        <w:rPr>
          <w:lang w:val="en-GB"/>
        </w:rPr>
        <w:t>All official information on elections in Bosnia and Herzegovina, including regulations, decisions, instructi</w:t>
      </w:r>
      <w:r>
        <w:rPr>
          <w:lang w:val="en-GB"/>
        </w:rPr>
        <w:t>ons, forms and information on the 2026 General Elections, is available on the official website of the Central Election Commission of Bosnia and Herzegovina — www.izbori.ba.</w:t>
      </w:r>
    </w:p>
    <w:p w:rsidR="00942DF7" w:rsidRDefault="00887F79">
      <w:pPr>
        <w:pStyle w:val="Heading2"/>
      </w:pPr>
      <w:r>
        <w:rPr>
          <w:lang w:val="en-GB"/>
        </w:rPr>
        <w:t>Under which legislation are elections organised and conducted in Bosnia and Herzego</w:t>
      </w:r>
      <w:r>
        <w:rPr>
          <w:lang w:val="en-GB"/>
        </w:rPr>
        <w:t>vina?</w:t>
      </w:r>
    </w:p>
    <w:p w:rsidR="00942DF7" w:rsidRDefault="00887F79">
      <w:r>
        <w:rPr>
          <w:lang w:val="en-GB"/>
        </w:rPr>
        <w:t>The Election Law of Bosnia and Herzegovina is the fundamental law governing the organisation and conduct of elections in Bosnia and Herzegovina. Additional laws governing election administration are the Election Law of Republika Srpska and the Electi</w:t>
      </w:r>
      <w:r>
        <w:rPr>
          <w:lang w:val="en-GB"/>
        </w:rPr>
        <w:t>on Law of Brčko District of BiH.</w:t>
      </w:r>
    </w:p>
    <w:p w:rsidR="00942DF7" w:rsidRDefault="00887F79">
      <w:r>
        <w:rPr>
          <w:lang w:val="en-GB"/>
        </w:rPr>
        <w:lastRenderedPageBreak/>
        <w:t>All implementing acts adopted by the CEC BiH that set out procedures defining each segment of the electoral process in greater detail are also relevant to the organisation and conduct of elections.</w:t>
      </w:r>
    </w:p>
    <w:p w:rsidR="00942DF7" w:rsidRDefault="00887F79">
      <w:pPr>
        <w:pStyle w:val="Heading2"/>
      </w:pPr>
      <w:r>
        <w:rPr>
          <w:lang w:val="en-GB"/>
        </w:rPr>
        <w:t>How many voters are eligi</w:t>
      </w:r>
      <w:r>
        <w:rPr>
          <w:lang w:val="en-GB"/>
        </w:rPr>
        <w:t>ble to vote in the 2026 General Elections?</w:t>
      </w:r>
    </w:p>
    <w:p w:rsidR="00942DF7" w:rsidRDefault="00887F79">
      <w:r>
        <w:rPr>
          <w:lang w:val="en-GB"/>
        </w:rPr>
        <w:t>According to the Decision on the Closure of the Central Voter Register as at 20 August 2026, 3,408,517 voters were entered in the Central Voter Register.</w:t>
      </w:r>
    </w:p>
    <w:p w:rsidR="00942DF7" w:rsidRDefault="00887F79">
      <w:pPr>
        <w:pStyle w:val="Heading2"/>
      </w:pPr>
      <w:r>
        <w:rPr>
          <w:lang w:val="en-GB"/>
        </w:rPr>
        <w:t xml:space="preserve">Are new election technologies being used in the 2026 </w:t>
      </w:r>
      <w:r>
        <w:rPr>
          <w:lang w:val="en-GB"/>
        </w:rPr>
        <w:t>General Elections?</w:t>
      </w:r>
    </w:p>
    <w:p w:rsidR="00942DF7" w:rsidRDefault="00887F79">
      <w:r>
        <w:rPr>
          <w:lang w:val="en-GB"/>
        </w:rPr>
        <w:t>The first comprehensive use of specific election technologies in the electoral process in Bosnia and Herzegovina is planned for the 2026 General Elections.</w:t>
      </w:r>
    </w:p>
    <w:p w:rsidR="00942DF7" w:rsidRDefault="00887F79">
      <w:r>
        <w:rPr>
          <w:lang w:val="en-GB"/>
        </w:rPr>
        <w:t>The new technologies include:</w:t>
      </w:r>
    </w:p>
    <w:p w:rsidR="00942DF7" w:rsidRDefault="00887F79">
      <w:r>
        <w:rPr>
          <w:lang w:val="en-GB"/>
        </w:rPr>
        <w:t>1. biometric voter identification and authenticatio</w:t>
      </w:r>
      <w:r>
        <w:rPr>
          <w:lang w:val="en-GB"/>
        </w:rPr>
        <w:t>n; and</w:t>
      </w:r>
    </w:p>
    <w:p w:rsidR="00942DF7" w:rsidRDefault="00887F79">
      <w:r>
        <w:rPr>
          <w:lang w:val="en-GB"/>
        </w:rPr>
        <w:t>2. optical scanners and automated ballot counting.</w:t>
      </w:r>
    </w:p>
    <w:p w:rsidR="00942DF7" w:rsidRDefault="00887F79">
      <w:r>
        <w:rPr>
          <w:lang w:val="en-GB"/>
        </w:rPr>
        <w:t>Specific election technologies affect several stages of election day, from voter identification and inserting ballots into a scanner to electronic counting and transmission of results. Their introdu</w:t>
      </w:r>
      <w:r>
        <w:rPr>
          <w:lang w:val="en-GB"/>
        </w:rPr>
        <w:t>ction is therefore one of the most important innovations of the 2026 General Elections.</w:t>
      </w:r>
    </w:p>
    <w:p w:rsidR="00942DF7" w:rsidRDefault="00887F79">
      <w:r>
        <w:rPr>
          <w:lang w:val="en-GB"/>
        </w:rPr>
        <w:br w:type="page"/>
      </w:r>
    </w:p>
    <w:p w:rsidR="00942DF7" w:rsidRDefault="00887F79">
      <w:pPr>
        <w:pStyle w:val="Heading1"/>
      </w:pPr>
      <w:r>
        <w:rPr>
          <w:lang w:val="en-GB"/>
        </w:rPr>
        <w:lastRenderedPageBreak/>
        <w:t>Basic information on the Coalition for Free and Fair Elections “Pod lupom”</w:t>
      </w:r>
    </w:p>
    <w:p w:rsidR="00942DF7" w:rsidRDefault="00887F79">
      <w:pPr>
        <w:pStyle w:val="Heading2"/>
      </w:pPr>
      <w:r>
        <w:rPr>
          <w:lang w:val="en-GB"/>
        </w:rPr>
        <w:t>About the Coalition</w:t>
      </w:r>
    </w:p>
    <w:p w:rsidR="00942DF7" w:rsidRDefault="00887F79">
      <w:r>
        <w:rPr>
          <w:lang w:val="en-GB"/>
        </w:rPr>
        <w:t>The Coalition for Free and Fair Elections “Pod lupom” was established i</w:t>
      </w:r>
      <w:r>
        <w:rPr>
          <w:lang w:val="en-GB"/>
        </w:rPr>
        <w:t>n May 2014 to conduct citizen, non-partisan and independent election observation missions in Bosnia and Herzegovina and to improve the electoral process in Bosnia and Herzegovina.</w:t>
      </w:r>
    </w:p>
    <w:p w:rsidR="00942DF7" w:rsidRDefault="00887F79">
      <w:pPr>
        <w:pStyle w:val="Heading2"/>
      </w:pPr>
      <w:r>
        <w:rPr>
          <w:lang w:val="en-GB"/>
        </w:rPr>
        <w:t>Vision</w:t>
      </w:r>
    </w:p>
    <w:p w:rsidR="00942DF7" w:rsidRDefault="00887F79">
      <w:r>
        <w:rPr>
          <w:lang w:val="en-GB"/>
        </w:rPr>
        <w:t>Free and fair elections in Bosnia and Herzegovina.</w:t>
      </w:r>
    </w:p>
    <w:p w:rsidR="00942DF7" w:rsidRDefault="00887F79">
      <w:pPr>
        <w:pStyle w:val="Heading2"/>
      </w:pPr>
      <w:r>
        <w:rPr>
          <w:lang w:val="en-GB"/>
        </w:rPr>
        <w:t>Mission</w:t>
      </w:r>
    </w:p>
    <w:p w:rsidR="00942DF7" w:rsidRDefault="00887F79">
      <w:r>
        <w:rPr>
          <w:lang w:val="en-GB"/>
        </w:rPr>
        <w:t>To improve</w:t>
      </w:r>
      <w:r>
        <w:rPr>
          <w:lang w:val="en-GB"/>
        </w:rPr>
        <w:t xml:space="preserve"> the electoral process in Bosnia and Herzegovina by fostering impartiality, ethics, transparency, professionalism, innovation, accountability and solidarity.</w:t>
      </w:r>
    </w:p>
    <w:p w:rsidR="00942DF7" w:rsidRDefault="00887F79">
      <w:pPr>
        <w:pStyle w:val="Heading2"/>
      </w:pPr>
      <w:r>
        <w:rPr>
          <w:lang w:val="en-GB"/>
        </w:rPr>
        <w:t>Objectives</w:t>
      </w:r>
    </w:p>
    <w:p w:rsidR="00942DF7" w:rsidRDefault="00887F79">
      <w:pPr>
        <w:pStyle w:val="ListBullet"/>
      </w:pPr>
      <w:r>
        <w:rPr>
          <w:lang w:val="en-GB"/>
        </w:rPr>
        <w:t>Free expression of citizens’ electoral will</w:t>
      </w:r>
    </w:p>
    <w:p w:rsidR="00942DF7" w:rsidRDefault="00887F79">
      <w:pPr>
        <w:pStyle w:val="ListBullet"/>
      </w:pPr>
      <w:r>
        <w:rPr>
          <w:lang w:val="en-GB"/>
        </w:rPr>
        <w:t xml:space="preserve">Preventing electoral irregularities and </w:t>
      </w:r>
      <w:r>
        <w:rPr>
          <w:lang w:val="en-GB"/>
        </w:rPr>
        <w:t>sanctioning those responsible</w:t>
      </w:r>
    </w:p>
    <w:p w:rsidR="00942DF7" w:rsidRDefault="00887F79">
      <w:pPr>
        <w:pStyle w:val="ListBullet"/>
      </w:pPr>
      <w:r>
        <w:rPr>
          <w:lang w:val="en-GB"/>
        </w:rPr>
        <w:t>Improving the electoral process and electoral legislation</w:t>
      </w:r>
    </w:p>
    <w:p w:rsidR="00942DF7" w:rsidRDefault="00887F79">
      <w:pPr>
        <w:pStyle w:val="ListBullet"/>
      </w:pPr>
      <w:r>
        <w:rPr>
          <w:lang w:val="en-GB"/>
        </w:rPr>
        <w:t>Strengthening the capacities of member organisations</w:t>
      </w:r>
    </w:p>
    <w:p w:rsidR="00942DF7" w:rsidRDefault="00887F79">
      <w:pPr>
        <w:pStyle w:val="Heading2"/>
      </w:pPr>
      <w:r>
        <w:rPr>
          <w:lang w:val="en-GB"/>
        </w:rPr>
        <w:t>Areas of work</w:t>
      </w:r>
    </w:p>
    <w:p w:rsidR="00942DF7" w:rsidRDefault="00887F79">
      <w:pPr>
        <w:pStyle w:val="Heading3"/>
      </w:pPr>
      <w:r>
        <w:rPr>
          <w:lang w:val="en-GB"/>
        </w:rPr>
        <w:t>1 Election observation in BiH</w:t>
      </w:r>
    </w:p>
    <w:p w:rsidR="00942DF7" w:rsidRDefault="00887F79">
      <w:r>
        <w:rPr>
          <w:lang w:val="en-GB"/>
        </w:rPr>
        <w:t>Long-term election observation (LTO). Short-term election observation (</w:t>
      </w:r>
      <w:r>
        <w:rPr>
          <w:lang w:val="en-GB"/>
        </w:rPr>
        <w:t>STO).</w:t>
      </w:r>
    </w:p>
    <w:p w:rsidR="00942DF7" w:rsidRDefault="00887F79">
      <w:r>
        <w:rPr>
          <w:lang w:val="en-GB"/>
        </w:rPr>
        <w:t>Additional monitoring: media reporting; pressure on voters; political entities’ social media; the formation of polling station committees; political gatherings and rallies. Research and analysis.</w:t>
      </w:r>
    </w:p>
    <w:p w:rsidR="00942DF7" w:rsidRDefault="00887F79">
      <w:pPr>
        <w:pStyle w:val="Heading3"/>
      </w:pPr>
      <w:r>
        <w:rPr>
          <w:lang w:val="en-GB"/>
        </w:rPr>
        <w:t>2 Advocacy for better elections in BiH</w:t>
      </w:r>
    </w:p>
    <w:p w:rsidR="00942DF7" w:rsidRDefault="00887F79">
      <w:r>
        <w:rPr>
          <w:lang w:val="en-GB"/>
        </w:rPr>
        <w:t>After each obse</w:t>
      </w:r>
      <w:r>
        <w:rPr>
          <w:lang w:val="en-GB"/>
        </w:rPr>
        <w:t>rvation mission, “Pod lupom” publishes recommendations aimed at improving elections.</w:t>
      </w:r>
    </w:p>
    <w:p w:rsidR="00942DF7" w:rsidRDefault="00887F79">
      <w:pPr>
        <w:pStyle w:val="Heading3"/>
      </w:pPr>
      <w:r>
        <w:rPr>
          <w:lang w:val="en-GB"/>
        </w:rPr>
        <w:t>3 Education</w:t>
      </w:r>
    </w:p>
    <w:p w:rsidR="00942DF7" w:rsidRDefault="00887F79">
      <w:r>
        <w:rPr>
          <w:lang w:val="en-GB"/>
        </w:rPr>
        <w:t>First-time Voter workshops for those voting for the first time. Fair Elections Academies offering election education to the wider public. Other education: trai</w:t>
      </w:r>
      <w:r>
        <w:rPr>
          <w:lang w:val="en-GB"/>
        </w:rPr>
        <w:t>ning for the media, civil society organisations and international actors, and continuing education for the wider public.</w:t>
      </w:r>
    </w:p>
    <w:p w:rsidR="00942DF7" w:rsidRDefault="00887F79">
      <w:pPr>
        <w:pStyle w:val="Heading3"/>
      </w:pPr>
      <w:r>
        <w:rPr>
          <w:lang w:val="en-GB"/>
        </w:rPr>
        <w:t>4 Capacity building for civil society organisations</w:t>
      </w:r>
    </w:p>
    <w:p w:rsidR="00942DF7" w:rsidRDefault="00887F79">
      <w:r>
        <w:rPr>
          <w:lang w:val="en-GB"/>
        </w:rPr>
        <w:t>Involving civil society organisations in election observation and education, with t</w:t>
      </w:r>
      <w:r>
        <w:rPr>
          <w:lang w:val="en-GB"/>
        </w:rPr>
        <w:t>he aim of enabling them, at a later stage, to independently conduct observation missions in their local communities.</w:t>
      </w:r>
    </w:p>
    <w:p w:rsidR="00942DF7" w:rsidRDefault="00887F79">
      <w:r>
        <w:rPr>
          <w:lang w:val="en-GB"/>
        </w:rPr>
        <w:t>Other activities: general training for civil society organisations, education tailored to their needs, technical equipment support, and pro</w:t>
      </w:r>
      <w:r>
        <w:rPr>
          <w:lang w:val="en-GB"/>
        </w:rPr>
        <w:t>motion of their missions and visions.</w:t>
      </w:r>
    </w:p>
    <w:p w:rsidR="00942DF7" w:rsidRDefault="00887F79">
      <w:pPr>
        <w:pStyle w:val="Heading2"/>
      </w:pPr>
      <w:r>
        <w:rPr>
          <w:lang w:val="en-GB"/>
        </w:rPr>
        <w:lastRenderedPageBreak/>
        <w:t>Organisational structure</w:t>
      </w:r>
    </w:p>
    <w:tbl>
      <w:tblPr>
        <w:tblW w:w="0" w:type="auto"/>
        <w:tblLayout w:type="fixed"/>
        <w:tblLook w:val="04A0" w:firstRow="1" w:lastRow="0" w:firstColumn="1" w:lastColumn="0" w:noHBand="0" w:noVBand="1"/>
      </w:tblPr>
      <w:tblGrid>
        <w:gridCol w:w="7427"/>
        <w:gridCol w:w="1984"/>
      </w:tblGrid>
      <w:tr w:rsidR="00942DF7">
        <w:trPr>
          <w:cantSplit/>
          <w:tblHeader/>
        </w:trPr>
        <w:tc>
          <w:tcPr>
            <w:tcW w:w="7427"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942DF7" w:rsidRDefault="00887F79">
            <w:pPr>
              <w:spacing w:before="40" w:after="40" w:line="240" w:lineRule="auto"/>
            </w:pPr>
            <w:r>
              <w:rPr>
                <w:b/>
                <w:color w:val="FFFFFF"/>
                <w:sz w:val="20"/>
              </w:rPr>
              <w:t>Membership</w:t>
            </w:r>
          </w:p>
        </w:tc>
        <w:tc>
          <w:tcPr>
            <w:tcW w:w="1984"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942DF7" w:rsidRDefault="00887F79">
            <w:pPr>
              <w:spacing w:before="40" w:after="40" w:line="240" w:lineRule="auto"/>
            </w:pPr>
            <w:r>
              <w:rPr>
                <w:b/>
                <w:color w:val="FFFFFF"/>
                <w:sz w:val="20"/>
              </w:rPr>
              <w:t>Organisations</w:t>
            </w:r>
          </w:p>
        </w:tc>
      </w:tr>
      <w:tr w:rsidR="00942DF7">
        <w:trPr>
          <w:cantSplit/>
        </w:trPr>
        <w:tc>
          <w:tcPr>
            <w:tcW w:w="7427"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Member organisations of the “Pod lupom” Coalition</w:t>
            </w:r>
          </w:p>
        </w:tc>
        <w:tc>
          <w:tcPr>
            <w:tcW w:w="1984"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37</w:t>
            </w:r>
          </w:p>
        </w:tc>
      </w:tr>
      <w:tr w:rsidR="00942DF7">
        <w:trPr>
          <w:cantSplit/>
        </w:trPr>
        <w:tc>
          <w:tcPr>
            <w:tcW w:w="7427"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Full members</w:t>
            </w:r>
          </w:p>
        </w:tc>
        <w:tc>
          <w:tcPr>
            <w:tcW w:w="1984"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22</w:t>
            </w:r>
          </w:p>
        </w:tc>
      </w:tr>
      <w:tr w:rsidR="00942DF7">
        <w:trPr>
          <w:cantSplit/>
        </w:trPr>
        <w:tc>
          <w:tcPr>
            <w:tcW w:w="7427"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Associate members</w:t>
            </w:r>
          </w:p>
        </w:tc>
        <w:tc>
          <w:tcPr>
            <w:tcW w:w="1984"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15</w:t>
            </w:r>
          </w:p>
        </w:tc>
      </w:tr>
    </w:tbl>
    <w:p w:rsidR="00942DF7" w:rsidRDefault="00942DF7">
      <w:pPr>
        <w:spacing w:after="0"/>
      </w:pPr>
    </w:p>
    <w:p w:rsidR="00942DF7" w:rsidRDefault="00887F79">
      <w:pPr>
        <w:pStyle w:val="Heading2"/>
      </w:pPr>
      <w:r>
        <w:rPr>
          <w:lang w:val="en-GB"/>
        </w:rPr>
        <w:t>The Coalition in numbers</w:t>
      </w:r>
    </w:p>
    <w:tbl>
      <w:tblPr>
        <w:tblW w:w="0" w:type="auto"/>
        <w:tblLayout w:type="fixed"/>
        <w:tblLook w:val="04A0" w:firstRow="1" w:lastRow="0" w:firstColumn="1" w:lastColumn="0" w:noHBand="0" w:noVBand="1"/>
      </w:tblPr>
      <w:tblGrid>
        <w:gridCol w:w="7427"/>
        <w:gridCol w:w="1984"/>
      </w:tblGrid>
      <w:tr w:rsidR="00942DF7">
        <w:trPr>
          <w:cantSplit/>
          <w:tblHeader/>
        </w:trPr>
        <w:tc>
          <w:tcPr>
            <w:tcW w:w="7427"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942DF7" w:rsidRDefault="00887F79">
            <w:pPr>
              <w:spacing w:before="40" w:after="40" w:line="240" w:lineRule="auto"/>
            </w:pPr>
            <w:r>
              <w:rPr>
                <w:b/>
                <w:color w:val="FFFFFF"/>
                <w:sz w:val="20"/>
              </w:rPr>
              <w:t>Indicator</w:t>
            </w:r>
          </w:p>
        </w:tc>
        <w:tc>
          <w:tcPr>
            <w:tcW w:w="1984" w:type="dxa"/>
            <w:tcBorders>
              <w:top w:val="single" w:sz="4" w:space="0" w:color="D9D9D9"/>
              <w:left w:val="single" w:sz="4" w:space="0" w:color="D9D9D9"/>
              <w:bottom w:val="single" w:sz="4" w:space="0" w:color="D9D9D9"/>
              <w:right w:val="single" w:sz="4" w:space="0" w:color="D9D9D9"/>
            </w:tcBorders>
            <w:shd w:val="clear" w:color="auto" w:fill="452078"/>
            <w:tcMar>
              <w:top w:w="90" w:type="dxa"/>
              <w:left w:w="90" w:type="dxa"/>
              <w:bottom w:w="90" w:type="dxa"/>
              <w:right w:w="90" w:type="dxa"/>
            </w:tcMar>
          </w:tcPr>
          <w:p w:rsidR="00942DF7" w:rsidRDefault="00887F79">
            <w:pPr>
              <w:spacing w:before="40" w:after="40" w:line="240" w:lineRule="auto"/>
            </w:pPr>
            <w:r>
              <w:rPr>
                <w:b/>
                <w:color w:val="FFFFFF"/>
                <w:sz w:val="20"/>
              </w:rPr>
              <w:t>Number</w:t>
            </w:r>
          </w:p>
        </w:tc>
      </w:tr>
      <w:tr w:rsidR="00942DF7">
        <w:trPr>
          <w:cantSplit/>
        </w:trPr>
        <w:tc>
          <w:tcPr>
            <w:tcW w:w="7427"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Years of activity</w:t>
            </w:r>
          </w:p>
        </w:tc>
        <w:tc>
          <w:tcPr>
            <w:tcW w:w="1984"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12</w:t>
            </w:r>
          </w:p>
        </w:tc>
      </w:tr>
      <w:tr w:rsidR="00942DF7">
        <w:trPr>
          <w:cantSplit/>
        </w:trPr>
        <w:tc>
          <w:tcPr>
            <w:tcW w:w="7427"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Observation missions</w:t>
            </w:r>
          </w:p>
        </w:tc>
        <w:tc>
          <w:tcPr>
            <w:tcW w:w="1984"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25</w:t>
            </w:r>
          </w:p>
        </w:tc>
      </w:tr>
      <w:tr w:rsidR="00942DF7">
        <w:trPr>
          <w:cantSplit/>
        </w:trPr>
        <w:tc>
          <w:tcPr>
            <w:tcW w:w="7427"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Election observers engaged</w:t>
            </w:r>
          </w:p>
        </w:tc>
        <w:tc>
          <w:tcPr>
            <w:tcW w:w="1984"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16,700+</w:t>
            </w:r>
          </w:p>
        </w:tc>
      </w:tr>
      <w:tr w:rsidR="00942DF7">
        <w:trPr>
          <w:cantSplit/>
        </w:trPr>
        <w:tc>
          <w:tcPr>
            <w:tcW w:w="7427"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Young people in BiH educated about elections</w:t>
            </w:r>
          </w:p>
        </w:tc>
        <w:tc>
          <w:tcPr>
            <w:tcW w:w="1984"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62,000+</w:t>
            </w:r>
          </w:p>
        </w:tc>
      </w:tr>
      <w:tr w:rsidR="00942DF7">
        <w:trPr>
          <w:cantSplit/>
        </w:trPr>
        <w:tc>
          <w:tcPr>
            <w:tcW w:w="7427"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Citizens directly participating in Coalition activities</w:t>
            </w:r>
          </w:p>
        </w:tc>
        <w:tc>
          <w:tcPr>
            <w:tcW w:w="1984" w:type="dxa"/>
            <w:tcBorders>
              <w:top w:val="single" w:sz="4" w:space="0" w:color="D9D9D9"/>
              <w:left w:val="single" w:sz="4" w:space="0" w:color="D9D9D9"/>
              <w:bottom w:val="single" w:sz="4" w:space="0" w:color="D9D9D9"/>
              <w:right w:val="single" w:sz="4" w:space="0" w:color="D9D9D9"/>
            </w:tcBorders>
            <w:shd w:val="clear" w:color="auto" w:fill="F4F1F8"/>
            <w:tcMar>
              <w:top w:w="90" w:type="dxa"/>
              <w:left w:w="90" w:type="dxa"/>
              <w:bottom w:w="90" w:type="dxa"/>
              <w:right w:w="90" w:type="dxa"/>
            </w:tcMar>
          </w:tcPr>
          <w:p w:rsidR="00942DF7" w:rsidRDefault="00887F79">
            <w:pPr>
              <w:spacing w:before="40" w:after="40" w:line="240" w:lineRule="auto"/>
            </w:pPr>
            <w:r>
              <w:rPr>
                <w:sz w:val="20"/>
              </w:rPr>
              <w:t>170,000+</w:t>
            </w:r>
          </w:p>
        </w:tc>
      </w:tr>
      <w:tr w:rsidR="00942DF7">
        <w:trPr>
          <w:cantSplit/>
        </w:trPr>
        <w:tc>
          <w:tcPr>
            <w:tcW w:w="7427"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 xml:space="preserve">Coalition recommendations for better elections fully or partially </w:t>
            </w:r>
            <w:r>
              <w:rPr>
                <w:sz w:val="20"/>
              </w:rPr>
              <w:t>implemented</w:t>
            </w:r>
          </w:p>
        </w:tc>
        <w:tc>
          <w:tcPr>
            <w:tcW w:w="1984"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tcPr>
          <w:p w:rsidR="00942DF7" w:rsidRDefault="00887F79">
            <w:pPr>
              <w:spacing w:before="40" w:after="40" w:line="240" w:lineRule="auto"/>
            </w:pPr>
            <w:r>
              <w:rPr>
                <w:sz w:val="20"/>
              </w:rPr>
              <w:t>60</w:t>
            </w:r>
          </w:p>
        </w:tc>
      </w:tr>
    </w:tbl>
    <w:p w:rsidR="00942DF7" w:rsidRDefault="00942DF7">
      <w:pPr>
        <w:spacing w:after="0"/>
      </w:pPr>
    </w:p>
    <w:p w:rsidR="00942DF7" w:rsidRDefault="00887F79">
      <w:pPr>
        <w:pStyle w:val="Heading2"/>
      </w:pPr>
      <w:r>
        <w:rPr>
          <w:lang w:val="en-GB"/>
        </w:rPr>
        <w:t>Contact</w:t>
      </w:r>
    </w:p>
    <w:p w:rsidR="00942DF7" w:rsidRDefault="00887F79">
      <w:r>
        <w:rPr>
          <w:lang w:val="en-GB"/>
        </w:rPr>
        <w:t>General enquiries: info@podlupom.org  |  033 268 160</w:t>
      </w:r>
    </w:p>
    <w:p w:rsidR="00942DF7" w:rsidRDefault="00887F79">
      <w:r>
        <w:rPr>
          <w:lang w:val="en-GB"/>
        </w:rPr>
        <w:t>Media enquiries: pr@podlupom.org  |  063 396 521</w:t>
      </w:r>
    </w:p>
    <w:p w:rsidR="00942DF7" w:rsidRDefault="00887F79">
      <w:r>
        <w:rPr>
          <w:lang w:val="en-GB"/>
        </w:rPr>
        <w:t>Public relations and media coordinator (PR)</w:t>
      </w:r>
    </w:p>
    <w:p w:rsidR="00942DF7" w:rsidRDefault="00887F79">
      <w:r>
        <w:rPr>
          <w:lang w:val="en-GB"/>
        </w:rPr>
        <w:t>More information about the Coalition and our team: www.podlupom.org</w:t>
      </w:r>
    </w:p>
    <w:p w:rsidR="00942DF7" w:rsidRDefault="00887F79">
      <w:r>
        <w:rPr>
          <w:lang w:val="en-GB"/>
        </w:rPr>
        <w:br w:type="page"/>
      </w:r>
    </w:p>
    <w:p w:rsidR="00942DF7" w:rsidRDefault="00887F79">
      <w:pPr>
        <w:pStyle w:val="Heading1"/>
      </w:pPr>
      <w:r>
        <w:rPr>
          <w:lang w:val="en-GB"/>
        </w:rPr>
        <w:lastRenderedPageBreak/>
        <w:t>Online channels</w:t>
      </w:r>
    </w:p>
    <w:p w:rsidR="00942DF7" w:rsidRDefault="00887F79">
      <w:pPr>
        <w:jc w:val="center"/>
      </w:pPr>
      <w:r>
        <w:rPr>
          <w:noProof/>
        </w:rPr>
        <w:drawing>
          <wp:inline distT="0" distB="0" distL="0" distR="0">
            <wp:extent cx="5220000" cy="7382383"/>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5.png"/>
                    <pic:cNvPicPr/>
                  </pic:nvPicPr>
                  <pic:blipFill>
                    <a:blip r:embed="rId27"/>
                    <a:stretch>
                      <a:fillRect/>
                    </a:stretch>
                  </pic:blipFill>
                  <pic:spPr>
                    <a:xfrm>
                      <a:off x="0" y="0"/>
                      <a:ext cx="5220000" cy="7382383"/>
                    </a:xfrm>
                    <a:prstGeom prst="rect">
                      <a:avLst/>
                    </a:prstGeom>
                  </pic:spPr>
                </pic:pic>
              </a:graphicData>
            </a:graphic>
          </wp:inline>
        </w:drawing>
      </w:r>
    </w:p>
    <w:p w:rsidR="00942DF7" w:rsidRDefault="00887F79">
      <w:r>
        <w:rPr>
          <w:lang w:val="en-GB"/>
        </w:rPr>
        <w:br w:type="page"/>
      </w:r>
    </w:p>
    <w:p w:rsidR="00942DF7" w:rsidRDefault="00887F79">
      <w:pPr>
        <w:jc w:val="center"/>
      </w:pPr>
      <w:r>
        <w:rPr>
          <w:noProof/>
        </w:rPr>
        <w:lastRenderedPageBreak/>
        <w:drawing>
          <wp:inline distT="0" distB="0" distL="0" distR="0">
            <wp:extent cx="5868000" cy="8298817"/>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png"/>
                    <pic:cNvPicPr/>
                  </pic:nvPicPr>
                  <pic:blipFill>
                    <a:blip r:embed="rId28"/>
                    <a:stretch>
                      <a:fillRect/>
                    </a:stretch>
                  </pic:blipFill>
                  <pic:spPr>
                    <a:xfrm>
                      <a:off x="0" y="0"/>
                      <a:ext cx="5868000" cy="8298817"/>
                    </a:xfrm>
                    <a:prstGeom prst="rect">
                      <a:avLst/>
                    </a:prstGeom>
                  </pic:spPr>
                </pic:pic>
              </a:graphicData>
            </a:graphic>
          </wp:inline>
        </w:drawing>
      </w:r>
    </w:p>
    <w:sectPr w:rsidR="00942DF7" w:rsidSect="00034616">
      <w:headerReference w:type="default" r:id="rId29"/>
      <w:footerReference w:type="default" r:id="rId30"/>
      <w:pgSz w:w="11906" w:h="16838"/>
      <w:pgMar w:top="1134" w:right="1247" w:bottom="1020" w:left="1247" w:header="510"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7F79" w:rsidRDefault="00887F79">
      <w:pPr>
        <w:spacing w:after="0" w:line="240" w:lineRule="auto"/>
      </w:pPr>
      <w:r>
        <w:separator/>
      </w:r>
    </w:p>
  </w:endnote>
  <w:endnote w:type="continuationSeparator" w:id="0">
    <w:p w:rsidR="00887F79" w:rsidRDefault="00887F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DF7" w:rsidRDefault="00887F79">
    <w:pPr>
      <w:pStyle w:val="Footer"/>
      <w:jc w:val="right"/>
    </w:pPr>
    <w:r>
      <w:fldChar w:fldCharType="begin"/>
    </w:r>
    <w:r>
      <w:instrText xml:space="preserve"> PAGE </w:instrText>
    </w:r>
    <w:r>
      <w:fldChar w:fldCharType="separate"/>
    </w:r>
    <w:r w:rsidR="00CE66B3">
      <w:rPr>
        <w:noProof/>
      </w:rPr>
      <w:t>2</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7F79" w:rsidRDefault="00887F79">
      <w:pPr>
        <w:spacing w:after="0" w:line="240" w:lineRule="auto"/>
      </w:pPr>
      <w:r>
        <w:separator/>
      </w:r>
    </w:p>
  </w:footnote>
  <w:footnote w:type="continuationSeparator" w:id="0">
    <w:p w:rsidR="00887F79" w:rsidRDefault="00887F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2DF7" w:rsidRDefault="00887F79">
    <w:pPr>
      <w:pStyle w:val="Header"/>
    </w:pPr>
    <w:r>
      <w:rPr>
        <w:color w:val="666666"/>
        <w:sz w:val="16"/>
      </w:rPr>
      <w:t>POD LUPOM  |  2026 GENERAL ELECTIONS</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887F79"/>
    <w:rsid w:val="00942DF7"/>
    <w:rsid w:val="00AA1D8D"/>
    <w:rsid w:val="00B47730"/>
    <w:rsid w:val="00CB0664"/>
    <w:rsid w:val="00CE66B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19317D"/>
  <w14:defaultImageDpi w14:val="300"/>
  <w15:docId w15:val="{89BA44E5-65C0-40A6-ADBE-970835BD2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40" w:line="259" w:lineRule="auto"/>
    </w:pPr>
    <w:rPr>
      <w:rFonts w:ascii="Calibri" w:hAnsi="Calibri"/>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4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3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53D92C-AE3A-4CE9-9AB7-0A12097D5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5755</Words>
  <Characters>32808</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38487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 lupom Second Preliminary Report on the 2026 General Elections English Translation</dc:title>
  <dc:subject>AI-assisted English translation of the official BHS report</dc:subject>
  <dc:creator>Coalition for Free and Fair Elections Pod lupom</dc:creator>
  <cp:keywords/>
  <dc:description>generated by python-docx</dc:description>
  <cp:lastModifiedBy>CCI-Hasan</cp:lastModifiedBy>
  <cp:revision>2</cp:revision>
  <dcterms:created xsi:type="dcterms:W3CDTF">2013-12-23T23:15:00Z</dcterms:created>
  <dcterms:modified xsi:type="dcterms:W3CDTF">2026-10-03T16:21:00Z</dcterms:modified>
  <cp:category/>
</cp:coreProperties>
</file>